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2CE5A" w14:textId="0C391695" w:rsidR="00E12CA4" w:rsidRDefault="008046FC" w:rsidP="00ED60F1">
      <w:pPr>
        <w:pStyle w:val="western"/>
        <w:spacing w:after="0"/>
        <w:ind w:right="-108"/>
        <w:jc w:val="center"/>
      </w:pPr>
      <w:bookmarkStart w:id="0" w:name="_Hlk108593451"/>
      <w:r>
        <w:rPr>
          <w:b/>
          <w:bCs/>
          <w:sz w:val="32"/>
          <w:szCs w:val="32"/>
        </w:rPr>
        <w:t>4_14_</w:t>
      </w:r>
      <w:r w:rsidR="00E12CA4">
        <w:rPr>
          <w:b/>
          <w:bCs/>
          <w:sz w:val="32"/>
          <w:szCs w:val="32"/>
        </w:rPr>
        <w:t>Obecná pravidla pro výrobu a zřízení výrobny kosmetických přípravků</w:t>
      </w:r>
    </w:p>
    <w:bookmarkEnd w:id="0"/>
    <w:p w14:paraId="15333F92" w14:textId="77777777" w:rsidR="00E12CA4" w:rsidRDefault="00E12CA4" w:rsidP="00ED60F1">
      <w:pPr>
        <w:pStyle w:val="western"/>
        <w:spacing w:after="0"/>
        <w:jc w:val="both"/>
      </w:pPr>
      <w:r>
        <w:t>Pro výrobu kosmetických přípravků je potřeba mít:</w:t>
      </w:r>
    </w:p>
    <w:p w14:paraId="6A1A7497" w14:textId="77777777" w:rsidR="00E12CA4" w:rsidRDefault="00E12CA4" w:rsidP="00ED60F1">
      <w:pPr>
        <w:pStyle w:val="western"/>
        <w:numPr>
          <w:ilvl w:val="0"/>
          <w:numId w:val="1"/>
        </w:numPr>
        <w:spacing w:after="0"/>
        <w:jc w:val="both"/>
      </w:pPr>
      <w:r>
        <w:t xml:space="preserve">provozovnu k tomuto účelu zkolaudovanou (stavební úřad, Krajská hygienická stanice apod.) tj. provozovna musí být zkolaudována </w:t>
      </w:r>
      <w:r w:rsidRPr="006C48CD">
        <w:rPr>
          <w:u w:val="single"/>
        </w:rPr>
        <w:t>pro výrobu kosmetických přípravků</w:t>
      </w:r>
      <w:r>
        <w:t>,</w:t>
      </w:r>
    </w:p>
    <w:p w14:paraId="13F7B9AC" w14:textId="77777777" w:rsidR="00E12CA4" w:rsidRDefault="00E12CA4" w:rsidP="00ED60F1">
      <w:pPr>
        <w:pStyle w:val="western"/>
        <w:numPr>
          <w:ilvl w:val="0"/>
          <w:numId w:val="1"/>
        </w:numPr>
        <w:spacing w:after="0"/>
        <w:jc w:val="both"/>
      </w:pPr>
      <w:r>
        <w:t xml:space="preserve">platný živnostenský list pro výrobu kosmetických přípravků, </w:t>
      </w:r>
    </w:p>
    <w:p w14:paraId="473C7945" w14:textId="77777777" w:rsidR="00E12CA4" w:rsidRDefault="00E12CA4" w:rsidP="00ED60F1">
      <w:pPr>
        <w:pStyle w:val="western"/>
        <w:spacing w:after="0"/>
        <w:jc w:val="both"/>
      </w:pPr>
      <w:r>
        <w:t>Při samotné výrobě kosmetických přípravků je potřeba splnit náležitosti vyplývající z legislativy:</w:t>
      </w:r>
    </w:p>
    <w:p w14:paraId="76052E12" w14:textId="77777777" w:rsidR="00E12CA4" w:rsidRDefault="00E12CA4" w:rsidP="00ED60F1">
      <w:pPr>
        <w:pStyle w:val="western"/>
        <w:numPr>
          <w:ilvl w:val="0"/>
          <w:numId w:val="2"/>
        </w:numPr>
        <w:spacing w:before="62" w:beforeAutospacing="0" w:after="62"/>
        <w:jc w:val="both"/>
      </w:pPr>
      <w:r>
        <w:t>Nařízení Evropského parlamentu a Rady (ES) č. 1223/2009 ze dne 30. listopadu 2009 o kosmetických přípravcích (účinnost od 11.7.2013);</w:t>
      </w:r>
    </w:p>
    <w:p w14:paraId="3FC558DB" w14:textId="77777777" w:rsidR="00E12CA4" w:rsidRDefault="00E12CA4" w:rsidP="00ED60F1">
      <w:pPr>
        <w:pStyle w:val="western"/>
        <w:numPr>
          <w:ilvl w:val="0"/>
          <w:numId w:val="2"/>
        </w:numPr>
        <w:spacing w:before="62" w:beforeAutospacing="0" w:after="62"/>
        <w:jc w:val="both"/>
      </w:pPr>
      <w:r>
        <w:t>Zákon č. 258/2000 Sb., o ochraně veřejného zdraví a o změně některých souvisejících zákonů - § 19-21, § 25, 26, 27;</w:t>
      </w:r>
    </w:p>
    <w:p w14:paraId="10EEAE31" w14:textId="77777777" w:rsidR="00E12CA4" w:rsidRDefault="00E12CA4" w:rsidP="00ED60F1">
      <w:pPr>
        <w:pStyle w:val="western"/>
        <w:numPr>
          <w:ilvl w:val="0"/>
          <w:numId w:val="2"/>
        </w:numPr>
        <w:spacing w:before="62" w:beforeAutospacing="0" w:after="62"/>
        <w:jc w:val="both"/>
      </w:pPr>
      <w:r>
        <w:t>Vyhláška č. 137/2004 Sb., o hygienických požadavcích na stravovací služby a o zásadách osobní a provozní hygieny při činnostech epidemiologicky závažných;</w:t>
      </w:r>
    </w:p>
    <w:p w14:paraId="2F9D3F1B" w14:textId="3085694A" w:rsidR="00E12CA4" w:rsidRDefault="00E12CA4" w:rsidP="00ED60F1">
      <w:pPr>
        <w:pStyle w:val="western"/>
        <w:numPr>
          <w:ilvl w:val="0"/>
          <w:numId w:val="2"/>
        </w:numPr>
        <w:spacing w:before="62" w:beforeAutospacing="0" w:after="62"/>
        <w:jc w:val="both"/>
      </w:pPr>
      <w:r>
        <w:t xml:space="preserve">ČSN EN ISO 22716 </w:t>
      </w:r>
      <w:r w:rsidR="00BC6278">
        <w:t>Kosmetika – správná</w:t>
      </w:r>
      <w:r>
        <w:t xml:space="preserve"> výrobní praxe (</w:t>
      </w:r>
      <w:proofErr w:type="gramStart"/>
      <w:r>
        <w:t>SVP - směrnice</w:t>
      </w:r>
      <w:proofErr w:type="gramEnd"/>
      <w:r>
        <w:t xml:space="preserve"> pro správnou výrobní praxi).</w:t>
      </w:r>
    </w:p>
    <w:p w14:paraId="3E8AB637" w14:textId="77777777" w:rsidR="00E12CA4" w:rsidRDefault="00E12CA4" w:rsidP="00ED60F1">
      <w:pPr>
        <w:pStyle w:val="Normlnweb"/>
        <w:spacing w:after="0"/>
        <w:jc w:val="both"/>
      </w:pPr>
      <w:r>
        <w:t> </w:t>
      </w:r>
      <w:r>
        <w:rPr>
          <w:rStyle w:val="Siln"/>
          <w:u w:val="single"/>
        </w:rPr>
        <w:t>Přehled nejdůležitějších povinností dle Nařízení Evropského parlamentu a Rady č. 1223/2009 – výtah ze znění právního předpisu</w:t>
      </w:r>
    </w:p>
    <w:p w14:paraId="6A7D39CA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rPr>
          <w:u w:val="single"/>
        </w:rPr>
        <w:t>Kosmetický přípravek</w:t>
      </w:r>
      <w:r>
        <w:t xml:space="preserve"> dodávaný na trh </w:t>
      </w:r>
      <w:r>
        <w:rPr>
          <w:u w:val="single"/>
        </w:rPr>
        <w:t>musí být bezpečný</w:t>
      </w:r>
      <w:r>
        <w:t xml:space="preserve"> pro lidské zdraví </w:t>
      </w:r>
      <w:r>
        <w:rPr>
          <w:rStyle w:val="Zdraznn"/>
        </w:rPr>
        <w:t>(viz. čl.3)</w:t>
      </w:r>
    </w:p>
    <w:p w14:paraId="611EE41B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Povinnost </w:t>
      </w:r>
      <w:r>
        <w:rPr>
          <w:u w:val="single"/>
        </w:rPr>
        <w:t>identifikace v dodavatelském řetězci</w:t>
      </w:r>
      <w:r>
        <w:t xml:space="preserve">, tzv. zajištění sledovatelnosti – dodržení obecného principu sledovatelnosti „krok </w:t>
      </w:r>
      <w:proofErr w:type="gramStart"/>
      <w:r>
        <w:t>vpřed - krok</w:t>
      </w:r>
      <w:proofErr w:type="gramEnd"/>
      <w:r>
        <w:t xml:space="preserve"> zpět“ </w:t>
      </w:r>
      <w:r>
        <w:rPr>
          <w:rStyle w:val="Zdraznn"/>
        </w:rPr>
        <w:t>(viz. čl. 7)</w:t>
      </w:r>
    </w:p>
    <w:p w14:paraId="7921C4F5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Dodržování </w:t>
      </w:r>
      <w:r>
        <w:rPr>
          <w:u w:val="single"/>
        </w:rPr>
        <w:t>pravidel správné výrobní praxe</w:t>
      </w:r>
      <w:r>
        <w:t xml:space="preserve"> při výrobě kosmetických přípravků </w:t>
      </w:r>
      <w:r>
        <w:rPr>
          <w:rStyle w:val="Zdraznn"/>
        </w:rPr>
        <w:t>(viz. čl. 8)</w:t>
      </w:r>
    </w:p>
    <w:p w14:paraId="1F8DF373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Povinnost </w:t>
      </w:r>
      <w:r w:rsidRPr="006C48CD">
        <w:rPr>
          <w:b/>
          <w:u w:val="single"/>
        </w:rPr>
        <w:t>posoudit bezpečnost</w:t>
      </w:r>
      <w:r>
        <w:t xml:space="preserve"> kosmetického přípravku a vypracovat </w:t>
      </w:r>
      <w:r>
        <w:rPr>
          <w:u w:val="single"/>
        </w:rPr>
        <w:t>zprávu o bezpečnosti kosmetického přípravku</w:t>
      </w:r>
      <w:r>
        <w:t xml:space="preserve"> před uvedením</w:t>
      </w:r>
      <w:r w:rsidR="00C723C6">
        <w:t xml:space="preserve"> kosmetického přípravku </w:t>
      </w:r>
      <w:r>
        <w:t xml:space="preserve">na trh </w:t>
      </w:r>
      <w:r>
        <w:rPr>
          <w:rStyle w:val="Zdraznn"/>
        </w:rPr>
        <w:t>(viz. čl.10)</w:t>
      </w:r>
      <w:r>
        <w:t xml:space="preserve"> – viz příloha I. "Zpráva o bezpečnosti kosmetického přípravku"</w:t>
      </w:r>
    </w:p>
    <w:p w14:paraId="23C153C7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rPr>
          <w:u w:val="single"/>
        </w:rPr>
        <w:t xml:space="preserve">Informační </w:t>
      </w:r>
      <w:proofErr w:type="gramStart"/>
      <w:r>
        <w:rPr>
          <w:u w:val="single"/>
        </w:rPr>
        <w:t>dokumentace</w:t>
      </w:r>
      <w:r>
        <w:t xml:space="preserve"> - při</w:t>
      </w:r>
      <w:proofErr w:type="gramEnd"/>
      <w:r>
        <w:t xml:space="preserve"> uvedení kosmetického přípravku na trh, k němu </w:t>
      </w:r>
      <w:r>
        <w:rPr>
          <w:u w:val="single"/>
        </w:rPr>
        <w:t>uchovává odpovědná osoba informační dokumentaci, která obsahuje</w:t>
      </w:r>
      <w:r>
        <w:t xml:space="preserve">: popis kosmetického přípravku, zprávu o bezpečnosti, popis výrobní metody a prohlášení o dodržení správné výrobní praxe, údaje o jakýchkoli zkouškách na zvířatech, event. důkazy o udávaných účincích kosmetického přípravku </w:t>
      </w:r>
    </w:p>
    <w:p w14:paraId="4AB7BA55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Odpovědná osoba zajistí, aby informační dokumentace k přípravku byla pro příslušný orgán členského státu, ve kterém se tato dokumentace nachází, snadno přístupná v elektronickém nebo jiném formátu na její adrese uvedené na etiketě </w:t>
      </w:r>
      <w:r>
        <w:rPr>
          <w:rStyle w:val="Zdraznn"/>
        </w:rPr>
        <w:t>(viz. čl. 11)</w:t>
      </w:r>
    </w:p>
    <w:p w14:paraId="05741BD6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Splnění </w:t>
      </w:r>
      <w:r>
        <w:rPr>
          <w:u w:val="single"/>
        </w:rPr>
        <w:t>oznamovací povinnosti</w:t>
      </w:r>
      <w:r>
        <w:t xml:space="preserve"> (kosmetické přípravky obecně - portál CPNP a nanomateriály) </w:t>
      </w:r>
      <w:r>
        <w:rPr>
          <w:rStyle w:val="Zdraznn"/>
        </w:rPr>
        <w:t>(viz. čl. 13 a 16),</w:t>
      </w:r>
      <w:r>
        <w:t xml:space="preserve"> více </w:t>
      </w:r>
      <w:proofErr w:type="spellStart"/>
      <w:r>
        <w:t>info</w:t>
      </w:r>
      <w:proofErr w:type="spellEnd"/>
      <w:r>
        <w:t xml:space="preserve"> </w:t>
      </w:r>
      <w:proofErr w:type="gramStart"/>
      <w:r>
        <w:t xml:space="preserve">- </w:t>
      </w:r>
      <w:r>
        <w:rPr>
          <w:rStyle w:val="Zdraznn"/>
        </w:rPr>
        <w:t> </w:t>
      </w:r>
      <w:r>
        <w:t>viz.</w:t>
      </w:r>
      <w:proofErr w:type="gramEnd"/>
      <w:r>
        <w:t xml:space="preserve"> </w:t>
      </w:r>
      <w:r>
        <w:rPr>
          <w:rStyle w:val="Siln"/>
        </w:rPr>
        <w:t>Oznamovací povinnost</w:t>
      </w:r>
      <w:r>
        <w:t xml:space="preserve"> </w:t>
      </w:r>
    </w:p>
    <w:p w14:paraId="525C82C2" w14:textId="11E6F3EB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>Kosmetické přípravky nesmějí obsahovat látky dle čl. 14 a 15 (tj. látky s omezením, látky CMR)</w:t>
      </w:r>
    </w:p>
    <w:p w14:paraId="42113826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Zajistit dodržování požadavků souvisejících s prováděním zkoušek na zvířatech </w:t>
      </w:r>
      <w:r>
        <w:rPr>
          <w:rStyle w:val="Zdraznn"/>
        </w:rPr>
        <w:t>(viz. čl. 18)</w:t>
      </w:r>
    </w:p>
    <w:p w14:paraId="29A3E452" w14:textId="74410CAF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rPr>
          <w:u w:val="single"/>
        </w:rPr>
        <w:t>Splnit požadavky na označování</w:t>
      </w:r>
      <w:r>
        <w:t xml:space="preserve"> </w:t>
      </w:r>
      <w:r>
        <w:rPr>
          <w:rStyle w:val="Zdraznn"/>
        </w:rPr>
        <w:t>(viz.</w:t>
      </w:r>
      <w:r>
        <w:t xml:space="preserve"> </w:t>
      </w:r>
      <w:r>
        <w:rPr>
          <w:rStyle w:val="Zdraznn"/>
        </w:rPr>
        <w:t xml:space="preserve">čl. 19), </w:t>
      </w:r>
      <w:r>
        <w:t xml:space="preserve">více </w:t>
      </w:r>
      <w:proofErr w:type="spellStart"/>
      <w:r>
        <w:t>info</w:t>
      </w:r>
      <w:proofErr w:type="spellEnd"/>
      <w:r>
        <w:t xml:space="preserve"> - viz</w:t>
      </w:r>
      <w:r w:rsidR="00BC6278">
        <w:rPr>
          <w:rStyle w:val="Zdraznn"/>
        </w:rPr>
        <w:t>.</w:t>
      </w:r>
      <w:r>
        <w:t> </w:t>
      </w:r>
      <w:r>
        <w:rPr>
          <w:rStyle w:val="Siln"/>
        </w:rPr>
        <w:t>Náležitosti označování</w:t>
      </w:r>
    </w:p>
    <w:p w14:paraId="0F7AE174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Dodržovat požadavky související s </w:t>
      </w:r>
      <w:r>
        <w:rPr>
          <w:u w:val="single"/>
        </w:rPr>
        <w:t>tvrzeními o přípravku</w:t>
      </w:r>
      <w:r>
        <w:t xml:space="preserve"> </w:t>
      </w:r>
      <w:r>
        <w:rPr>
          <w:rStyle w:val="Zdraznn"/>
        </w:rPr>
        <w:t>(viz. čl. 20)</w:t>
      </w:r>
    </w:p>
    <w:p w14:paraId="7827D370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>Zajistit přístup veřejnosti k informacím</w:t>
      </w:r>
      <w:r>
        <w:rPr>
          <w:rStyle w:val="Zdraznn"/>
        </w:rPr>
        <w:t xml:space="preserve"> (viz. čl. 21)</w:t>
      </w:r>
    </w:p>
    <w:p w14:paraId="2AE767A6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lastRenderedPageBreak/>
        <w:t xml:space="preserve">Povinnost </w:t>
      </w:r>
      <w:r>
        <w:rPr>
          <w:u w:val="single"/>
        </w:rPr>
        <w:t>oznamování závažných nežádoucích účinků</w:t>
      </w:r>
      <w:r>
        <w:t xml:space="preserve"> </w:t>
      </w:r>
      <w:r>
        <w:rPr>
          <w:rStyle w:val="Zdraznn"/>
        </w:rPr>
        <w:t>(viz. čl. 23)</w:t>
      </w:r>
      <w:r>
        <w:t xml:space="preserve"> – směrem k příslušnému orgánu členského státu, ve kterém k nežádoucímu účinku došlo</w:t>
      </w:r>
    </w:p>
    <w:p w14:paraId="0A801DCE" w14:textId="77777777" w:rsidR="00E12CA4" w:rsidRDefault="00E12CA4" w:rsidP="00ED60F1">
      <w:pPr>
        <w:pStyle w:val="Normlnweb"/>
        <w:numPr>
          <w:ilvl w:val="0"/>
          <w:numId w:val="3"/>
        </w:numPr>
        <w:spacing w:after="0"/>
        <w:jc w:val="both"/>
      </w:pPr>
      <w:r>
        <w:t xml:space="preserve">Povinnost poskytnout </w:t>
      </w:r>
      <w:r>
        <w:rPr>
          <w:u w:val="single"/>
        </w:rPr>
        <w:t>informace o látkách</w:t>
      </w:r>
      <w:r>
        <w:t xml:space="preserve"> v kosmetických přípravcích příslušnému orgánu členského státu – na základě žádosti orgánu </w:t>
      </w:r>
      <w:r>
        <w:rPr>
          <w:rStyle w:val="Zdraznn"/>
        </w:rPr>
        <w:t>(viz. čl. 24)</w:t>
      </w:r>
    </w:p>
    <w:p w14:paraId="70041AC9" w14:textId="77777777" w:rsidR="00E12CA4" w:rsidRDefault="006C48CD" w:rsidP="00ED60F1">
      <w:pPr>
        <w:pStyle w:val="Normlnweb"/>
        <w:spacing w:after="240"/>
        <w:jc w:val="both"/>
      </w:pPr>
      <w:r w:rsidRPr="006C48CD">
        <w:rPr>
          <w:b/>
          <w:u w:val="single"/>
        </w:rPr>
        <w:t>Posouzení bezpečnosti (čl.10)</w:t>
      </w:r>
      <w:r w:rsidR="00EF1E93">
        <w:rPr>
          <w:b/>
          <w:u w:val="single"/>
        </w:rPr>
        <w:t xml:space="preserve"> </w:t>
      </w:r>
      <w:r w:rsidR="00EF1E93">
        <w:rPr>
          <w:rStyle w:val="Siln"/>
          <w:u w:val="single"/>
        </w:rPr>
        <w:t>– výtah ze znění právního předpisu</w:t>
      </w:r>
      <w:r>
        <w:t>:</w:t>
      </w:r>
    </w:p>
    <w:p w14:paraId="68847EA3" w14:textId="77777777" w:rsidR="006C48CD" w:rsidRPr="004D23AA" w:rsidRDefault="006C48CD" w:rsidP="004D23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8"/>
        <w:jc w:val="both"/>
      </w:pPr>
      <w:r w:rsidRPr="004D23AA">
        <w:t xml:space="preserve">K prokázání souladu kosmetického přípravku s článkem 3 zajistí odpovědná osoba před uvedením kosmetického přípravku na trh, aby bylo na základě příslušných informací provedeno posouzení jeho bezpečnosti a aby byla vypracována zpráva o bezpečnosti kosmetického přípravku v souladu s přílohou I. </w:t>
      </w:r>
    </w:p>
    <w:p w14:paraId="3DFB2987" w14:textId="77777777" w:rsidR="006C48CD" w:rsidRPr="004D23AA" w:rsidRDefault="006C48CD" w:rsidP="004D23AA">
      <w:pPr>
        <w:widowControl w:val="0"/>
        <w:autoSpaceDE w:val="0"/>
        <w:autoSpaceDN w:val="0"/>
        <w:adjustRightInd w:val="0"/>
      </w:pPr>
      <w:r w:rsidRPr="004D23AA">
        <w:t xml:space="preserve"> </w:t>
      </w:r>
    </w:p>
    <w:p w14:paraId="6774F29D" w14:textId="77777777" w:rsidR="006C48CD" w:rsidRPr="004D23AA" w:rsidRDefault="006C48CD" w:rsidP="004D23AA">
      <w:pPr>
        <w:widowControl w:val="0"/>
        <w:autoSpaceDE w:val="0"/>
        <w:autoSpaceDN w:val="0"/>
        <w:adjustRightInd w:val="0"/>
        <w:jc w:val="both"/>
      </w:pPr>
      <w:r w:rsidRPr="004D23AA">
        <w:tab/>
        <w:t xml:space="preserve">Odpovědná osoba zajistí, aby </w:t>
      </w:r>
    </w:p>
    <w:p w14:paraId="0C8C5152" w14:textId="77777777" w:rsidR="006C48CD" w:rsidRPr="004D23AA" w:rsidRDefault="006C48CD" w:rsidP="004D23AA">
      <w:pPr>
        <w:widowControl w:val="0"/>
        <w:autoSpaceDE w:val="0"/>
        <w:autoSpaceDN w:val="0"/>
        <w:adjustRightInd w:val="0"/>
      </w:pPr>
      <w:r w:rsidRPr="004D23AA">
        <w:t xml:space="preserve"> </w:t>
      </w:r>
    </w:p>
    <w:p w14:paraId="7E1879EC" w14:textId="77777777" w:rsidR="006C48CD" w:rsidRPr="004D23AA" w:rsidRDefault="006C48CD" w:rsidP="004D23AA">
      <w:pPr>
        <w:widowControl w:val="0"/>
        <w:autoSpaceDE w:val="0"/>
        <w:autoSpaceDN w:val="0"/>
        <w:adjustRightInd w:val="0"/>
        <w:ind w:left="696"/>
        <w:jc w:val="both"/>
      </w:pPr>
      <w:r w:rsidRPr="004D23AA">
        <w:tab/>
        <w:t xml:space="preserve">a) při posuzování bezpečnosti byly zohledněny předpokládané použití kosmetického přípravku a očekávaná systémová expozice jednotlivým přísadám v konečném složení; </w:t>
      </w:r>
    </w:p>
    <w:p w14:paraId="0C0A4959" w14:textId="77777777" w:rsidR="006C48CD" w:rsidRPr="004D23AA" w:rsidRDefault="006C48CD" w:rsidP="004D23AA">
      <w:pPr>
        <w:widowControl w:val="0"/>
        <w:autoSpaceDE w:val="0"/>
        <w:autoSpaceDN w:val="0"/>
        <w:adjustRightInd w:val="0"/>
      </w:pPr>
      <w:r w:rsidRPr="004D23AA">
        <w:t xml:space="preserve"> </w:t>
      </w:r>
    </w:p>
    <w:p w14:paraId="01ACA37E" w14:textId="77777777" w:rsidR="006C48CD" w:rsidRPr="004D23AA" w:rsidRDefault="006C48CD" w:rsidP="004D23AA">
      <w:pPr>
        <w:widowControl w:val="0"/>
        <w:autoSpaceDE w:val="0"/>
        <w:autoSpaceDN w:val="0"/>
        <w:adjustRightInd w:val="0"/>
        <w:ind w:left="684"/>
        <w:jc w:val="both"/>
      </w:pPr>
      <w:r w:rsidRPr="004D23AA">
        <w:tab/>
        <w:t xml:space="preserve">b) při posuzování bezpečnosti byl použit vhodný přístup založený na průkaznosti důkazů s cílem prozkoumat údaje ze všech existujících zdrojů; </w:t>
      </w:r>
    </w:p>
    <w:p w14:paraId="5708C92D" w14:textId="77777777" w:rsidR="006C48CD" w:rsidRPr="004D23AA" w:rsidRDefault="006C48CD" w:rsidP="004D23AA">
      <w:pPr>
        <w:widowControl w:val="0"/>
        <w:autoSpaceDE w:val="0"/>
        <w:autoSpaceDN w:val="0"/>
        <w:adjustRightInd w:val="0"/>
      </w:pPr>
      <w:r w:rsidRPr="004D23AA">
        <w:t xml:space="preserve"> </w:t>
      </w:r>
    </w:p>
    <w:p w14:paraId="071AAA3B" w14:textId="77777777" w:rsidR="006C48CD" w:rsidRPr="004D23AA" w:rsidRDefault="006C48CD" w:rsidP="004D23AA">
      <w:pPr>
        <w:widowControl w:val="0"/>
        <w:autoSpaceDE w:val="0"/>
        <w:autoSpaceDN w:val="0"/>
        <w:adjustRightInd w:val="0"/>
        <w:ind w:left="684"/>
        <w:jc w:val="both"/>
      </w:pPr>
      <w:r w:rsidRPr="004D23AA">
        <w:tab/>
        <w:t xml:space="preserve">c) zpráva o bezpečnosti kosmetického přípravku byla aktualizována s ohledem na dodatečné důležité informace získané po uvedení přípravku na trh. </w:t>
      </w:r>
    </w:p>
    <w:p w14:paraId="25014C9D" w14:textId="77777777" w:rsidR="006C48CD" w:rsidRPr="004D23AA" w:rsidRDefault="004D23AA" w:rsidP="004D23AA">
      <w:pPr>
        <w:pStyle w:val="Normlnweb"/>
        <w:numPr>
          <w:ilvl w:val="0"/>
          <w:numId w:val="5"/>
        </w:numPr>
        <w:spacing w:after="240"/>
        <w:ind w:left="708"/>
        <w:jc w:val="both"/>
      </w:pPr>
      <w:r w:rsidRPr="004D23AA">
        <w:t>Posouzení bezpečnosti kosmetického přípravku, jak je stanoveno v části B přílohy I, musí provádět držitel diplomu nebo jiného dokladu o dosažené kvalifikaci uděleného při ukončení vysokoškolského studia v oboru teoretické a praktické farmacie, toxikologie, lékařství nebo obdobného oboru, nebo studia uznaného členským státem za rovnocenné</w:t>
      </w:r>
    </w:p>
    <w:p w14:paraId="3DE4D8D6" w14:textId="77777777" w:rsidR="00E12CA4" w:rsidRDefault="00E12CA4" w:rsidP="00ED60F1">
      <w:pPr>
        <w:pStyle w:val="Normlnweb"/>
        <w:spacing w:after="0"/>
        <w:jc w:val="both"/>
      </w:pPr>
      <w:r>
        <w:rPr>
          <w:b/>
          <w:bCs/>
          <w:u w:val="single"/>
        </w:rPr>
        <w:t>Oznamovací povinnost (čl.13)</w:t>
      </w:r>
      <w:r w:rsidR="004D23AA" w:rsidRPr="004D23AA">
        <w:rPr>
          <w:rStyle w:val="Siln"/>
          <w:u w:val="single"/>
        </w:rPr>
        <w:t xml:space="preserve"> </w:t>
      </w:r>
      <w:r w:rsidR="004D23AA">
        <w:rPr>
          <w:rStyle w:val="Siln"/>
          <w:u w:val="single"/>
        </w:rPr>
        <w:t>- výtah ze znění právního předpisu</w:t>
      </w:r>
      <w:r>
        <w:t>:</w:t>
      </w:r>
    </w:p>
    <w:p w14:paraId="0F5F4D42" w14:textId="77777777" w:rsidR="00ED60F1" w:rsidRDefault="00ED60F1" w:rsidP="00ED60F1">
      <w:pPr>
        <w:pStyle w:val="Normlnweb"/>
        <w:jc w:val="both"/>
      </w:pPr>
      <w:r>
        <w:t xml:space="preserve">V souladu s ustanovením článku 13 nařízení Evropského parlamentu a Rady (ES) č. 1223/2009, o kosmetických přípravcích, je stanovena </w:t>
      </w:r>
      <w:r w:rsidRPr="006C48CD">
        <w:rPr>
          <w:u w:val="single"/>
        </w:rPr>
        <w:t>povinnost notifikovat kosmetické přípravky</w:t>
      </w:r>
      <w:r w:rsidR="006C48CD">
        <w:rPr>
          <w:u w:val="single"/>
        </w:rPr>
        <w:t xml:space="preserve"> </w:t>
      </w:r>
      <w:r w:rsidR="006C48CD" w:rsidRPr="006C48CD">
        <w:t>(</w:t>
      </w:r>
      <w:r w:rsidR="006C48CD" w:rsidRPr="0066461E">
        <w:rPr>
          <w:u w:val="single"/>
        </w:rPr>
        <w:t>ještě před jejich uvedením na trh)</w:t>
      </w:r>
      <w:r>
        <w:t>, které jsou uváděny na trh Evropské unie.</w:t>
      </w:r>
    </w:p>
    <w:p w14:paraId="56238357" w14:textId="77777777" w:rsidR="00ED60F1" w:rsidRDefault="00ED60F1" w:rsidP="00ED60F1">
      <w:pPr>
        <w:pStyle w:val="Normlnweb"/>
        <w:jc w:val="both"/>
      </w:pPr>
      <w:r>
        <w:t>Pro účely notifikace byl spuštěn Evropský portál notifikace kosmetických přípravků (CPNP). Podrobné informace včetně potřebných odkazů naleznete v českém manuálu pro CPNP na webové adrese:</w:t>
      </w:r>
    </w:p>
    <w:p w14:paraId="2B727A72" w14:textId="77777777" w:rsidR="00ED60F1" w:rsidRDefault="00000000" w:rsidP="00ED60F1">
      <w:pPr>
        <w:pStyle w:val="Normlnweb"/>
        <w:jc w:val="both"/>
      </w:pPr>
      <w:hyperlink r:id="rId7" w:history="1">
        <w:r w:rsidR="00ED60F1">
          <w:rPr>
            <w:rStyle w:val="Hypertextovodkaz"/>
          </w:rPr>
          <w:t>http://ec.europa.eu/consumers/sectors/cosmetics/files/pdf/cpnp_user_manual_cs.pdf</w:t>
        </w:r>
      </w:hyperlink>
    </w:p>
    <w:p w14:paraId="61D03916" w14:textId="77777777" w:rsidR="00ED60F1" w:rsidRDefault="00ED60F1" w:rsidP="00ED60F1">
      <w:pPr>
        <w:pStyle w:val="Normlnweb"/>
        <w:jc w:val="both"/>
      </w:pPr>
      <w:r>
        <w:t xml:space="preserve">V CPNP musejí být notifikovány všechny kosmetické přípravky, které se vyskytují na trhu EU. </w:t>
      </w:r>
    </w:p>
    <w:p w14:paraId="0C2ADA63" w14:textId="77777777" w:rsidR="00ED60F1" w:rsidRDefault="00ED60F1" w:rsidP="00ED60F1">
      <w:pPr>
        <w:pStyle w:val="Normlnweb"/>
        <w:jc w:val="both"/>
      </w:pPr>
      <w:r>
        <w:t>Vzhledem k tomu, že CPNP je systém Evropské komise, je technická podpora organizována na úrovni Evropské komise. Odpověď na časté dotazy lze nalézt, případně zadat nový dotaz lze v anglickém jazyce prostřednictvím webového formuláře na adrese: </w:t>
      </w:r>
    </w:p>
    <w:p w14:paraId="6308AFD3" w14:textId="77777777" w:rsidR="00ED60F1" w:rsidRDefault="00000000" w:rsidP="00ED60F1">
      <w:pPr>
        <w:pStyle w:val="Normlnweb"/>
        <w:jc w:val="both"/>
      </w:pPr>
      <w:hyperlink r:id="rId8" w:history="1">
        <w:r w:rsidR="00ED60F1">
          <w:rPr>
            <w:rStyle w:val="Hypertextovodkaz"/>
          </w:rPr>
          <w:t>https://webgate.ec.europa.eu/cpnp/faq/?event=faq.show</w:t>
        </w:r>
      </w:hyperlink>
    </w:p>
    <w:p w14:paraId="5F4E23C4" w14:textId="77777777" w:rsidR="00E12CA4" w:rsidRDefault="00E12CA4" w:rsidP="00ED60F1">
      <w:pPr>
        <w:pStyle w:val="Normlnweb"/>
        <w:spacing w:after="0"/>
        <w:jc w:val="both"/>
      </w:pPr>
      <w:r>
        <w:lastRenderedPageBreak/>
        <w:t>Postup notifikace kosmetických přípravků je také popsán na stránkách Ministerstva zdravotnictví:</w:t>
      </w:r>
    </w:p>
    <w:p w14:paraId="53BF088B" w14:textId="77777777" w:rsidR="00E12CA4" w:rsidRDefault="00000000" w:rsidP="00ED60F1">
      <w:pPr>
        <w:pStyle w:val="Normlnweb"/>
        <w:spacing w:after="0"/>
        <w:jc w:val="both"/>
      </w:pPr>
      <w:hyperlink r:id="rId9" w:history="1">
        <w:r w:rsidR="00ED60F1" w:rsidRPr="005F7BE9">
          <w:rPr>
            <w:rStyle w:val="Hypertextovodkaz"/>
          </w:rPr>
          <w:t>http://www.mzcr.cz/verejne/dokumenty/notifikace-kosmetickych-pripravku-evropsky-portalcpnp-_12884_1096_5.html</w:t>
        </w:r>
      </w:hyperlink>
    </w:p>
    <w:p w14:paraId="62B79D60" w14:textId="77777777" w:rsidR="00ED60F1" w:rsidRDefault="00ED60F1" w:rsidP="00ED60F1">
      <w:pPr>
        <w:pStyle w:val="Normlnweb"/>
        <w:spacing w:after="0"/>
        <w:jc w:val="both"/>
      </w:pPr>
    </w:p>
    <w:p w14:paraId="391D66C2" w14:textId="77777777" w:rsidR="00E12CA4" w:rsidRDefault="00E12CA4" w:rsidP="00ED60F1">
      <w:pPr>
        <w:pStyle w:val="western"/>
        <w:spacing w:after="198"/>
        <w:jc w:val="both"/>
      </w:pPr>
      <w:r>
        <w:rPr>
          <w:rStyle w:val="Siln"/>
          <w:u w:val="single"/>
        </w:rPr>
        <w:t>Nanomateriály (čl. 16)</w:t>
      </w:r>
    </w:p>
    <w:p w14:paraId="37FBF61F" w14:textId="77777777" w:rsidR="00E12CA4" w:rsidRDefault="00E12CA4" w:rsidP="00ED60F1">
      <w:pPr>
        <w:pStyle w:val="Normlnweb"/>
        <w:spacing w:after="0"/>
        <w:jc w:val="both"/>
      </w:pPr>
      <w:r>
        <w:rPr>
          <w:rStyle w:val="Siln"/>
          <w:b w:val="0"/>
          <w:bCs w:val="0"/>
          <w:u w:val="single"/>
        </w:rPr>
        <w:t>Přehled nejdůležitějších povinností</w:t>
      </w:r>
      <w:r>
        <w:rPr>
          <w:rStyle w:val="Siln"/>
          <w:b w:val="0"/>
          <w:bCs w:val="0"/>
        </w:rPr>
        <w:t xml:space="preserve"> – výtah ze znění právního předpisu:</w:t>
      </w:r>
      <w:r>
        <w:rPr>
          <w:b/>
          <w:bCs/>
        </w:rPr>
        <w:t> </w:t>
      </w:r>
    </w:p>
    <w:p w14:paraId="581DCE57" w14:textId="77777777" w:rsidR="00E12CA4" w:rsidRDefault="00E12CA4" w:rsidP="00ED60F1">
      <w:pPr>
        <w:pStyle w:val="western"/>
        <w:numPr>
          <w:ilvl w:val="0"/>
          <w:numId w:val="4"/>
        </w:numPr>
        <w:spacing w:after="198"/>
        <w:jc w:val="both"/>
      </w:pPr>
      <w:r>
        <w:t xml:space="preserve">U každého kosmetického přípravku, který obsahuje nanomateriály, se zabezpečí </w:t>
      </w:r>
      <w:r>
        <w:rPr>
          <w:u w:val="single"/>
        </w:rPr>
        <w:t>vysoká úroveň ochrany lidského zdraví</w:t>
      </w:r>
    </w:p>
    <w:p w14:paraId="0A81B999" w14:textId="77777777" w:rsidR="00E12CA4" w:rsidRDefault="00E12CA4" w:rsidP="00ED60F1">
      <w:pPr>
        <w:pStyle w:val="western"/>
        <w:numPr>
          <w:ilvl w:val="0"/>
          <w:numId w:val="4"/>
        </w:numPr>
        <w:spacing w:after="198"/>
        <w:jc w:val="both"/>
      </w:pPr>
      <w:r>
        <w:t>Není-li tak výslovně stanoveno, nevztahuje se tento článek na nanomateriály používané jako barviva, filtry ultrafialového záření nebo konzervační přísady, jejichž použití upravuje článek 14</w:t>
      </w:r>
    </w:p>
    <w:p w14:paraId="2DB9DBD4" w14:textId="77777777" w:rsidR="00E12CA4" w:rsidRDefault="00E12CA4" w:rsidP="00ED60F1">
      <w:pPr>
        <w:pStyle w:val="western"/>
        <w:numPr>
          <w:ilvl w:val="0"/>
          <w:numId w:val="4"/>
        </w:numPr>
        <w:spacing w:after="0"/>
        <w:jc w:val="both"/>
      </w:pPr>
      <w:r>
        <w:rPr>
          <w:u w:val="single"/>
        </w:rPr>
        <w:t xml:space="preserve">Oznamovací povinnost pro </w:t>
      </w:r>
      <w:proofErr w:type="gramStart"/>
      <w:r>
        <w:rPr>
          <w:u w:val="single"/>
        </w:rPr>
        <w:t>nanomateriály</w:t>
      </w:r>
      <w:r>
        <w:t xml:space="preserve"> - odpovědná</w:t>
      </w:r>
      <w:proofErr w:type="gramEnd"/>
      <w:r>
        <w:t xml:space="preserve"> osoba musí oznámit Komisi elektronickou cestou kosmetické přípravky obsahující nanomateriály šest měsíců před jejich uvedením na trh, s výjimkou případů, kdy tyto přípravky již na trh uvedla před 11. lednem 2013 (v tomto případě musí odpovědná osoba tyto kosmetické přípravky oznámit Komisi v období mezi 11. l. 2013 a 11.7. 2013)</w:t>
      </w:r>
      <w:r>
        <w:br/>
      </w:r>
      <w:r>
        <w:rPr>
          <w:rStyle w:val="Siln"/>
          <w:u w:val="single"/>
        </w:rPr>
        <w:t>Upozornění:</w:t>
      </w:r>
      <w:r>
        <w:t xml:space="preserve"> tento bod vstupuje v účinnost od 11.1. 2013</w:t>
      </w:r>
    </w:p>
    <w:p w14:paraId="4E33252A" w14:textId="77777777" w:rsidR="00E12CA4" w:rsidRDefault="00E12CA4" w:rsidP="00ED60F1">
      <w:pPr>
        <w:pStyle w:val="western"/>
        <w:spacing w:after="198"/>
        <w:jc w:val="both"/>
      </w:pPr>
      <w:r>
        <w:br/>
        <w:t> </w:t>
      </w:r>
      <w:r>
        <w:rPr>
          <w:u w:val="single"/>
        </w:rPr>
        <w:t>Informace v oznámení Komisi zahrnují:</w:t>
      </w:r>
    </w:p>
    <w:p w14:paraId="1B258B3C" w14:textId="77777777" w:rsidR="00E12CA4" w:rsidRDefault="00E12CA4" w:rsidP="00ED60F1">
      <w:pPr>
        <w:pStyle w:val="western"/>
        <w:spacing w:before="0" w:beforeAutospacing="0" w:after="0"/>
        <w:ind w:left="720" w:hanging="363"/>
        <w:jc w:val="both"/>
      </w:pPr>
      <w:r>
        <w:t>a)     identifikaci nanomateriálu</w:t>
      </w:r>
    </w:p>
    <w:p w14:paraId="0A5B4182" w14:textId="77777777" w:rsidR="00E12CA4" w:rsidRDefault="00E12CA4" w:rsidP="00ED60F1">
      <w:pPr>
        <w:pStyle w:val="western"/>
        <w:spacing w:before="0" w:beforeAutospacing="0" w:after="0"/>
        <w:ind w:left="720" w:hanging="363"/>
        <w:jc w:val="both"/>
      </w:pPr>
      <w:r>
        <w:t>b)     jeho přesné vymezení – velikost částic, fyzikální a chemické vlastnosti</w:t>
      </w:r>
    </w:p>
    <w:p w14:paraId="69ECE15B" w14:textId="77777777" w:rsidR="00E12CA4" w:rsidRDefault="00E12CA4" w:rsidP="00ED60F1">
      <w:pPr>
        <w:pStyle w:val="western"/>
        <w:spacing w:before="0" w:beforeAutospacing="0" w:after="0"/>
        <w:ind w:left="720" w:hanging="363"/>
        <w:jc w:val="both"/>
      </w:pPr>
      <w:r>
        <w:t>c)      odhadované množství materiálů obsažených v kosmetických přípravcích</w:t>
      </w:r>
    </w:p>
    <w:p w14:paraId="3F8E44B0" w14:textId="77777777" w:rsidR="00E12CA4" w:rsidRDefault="00E12CA4" w:rsidP="00ED60F1">
      <w:pPr>
        <w:pStyle w:val="western"/>
        <w:spacing w:before="0" w:beforeAutospacing="0" w:after="0"/>
        <w:ind w:left="720" w:hanging="363"/>
        <w:jc w:val="both"/>
      </w:pPr>
      <w:r>
        <w:t>d)     toxikologický profil nanomateriálu</w:t>
      </w:r>
    </w:p>
    <w:p w14:paraId="4FEDEB9A" w14:textId="77777777" w:rsidR="00E12CA4" w:rsidRDefault="00E12CA4" w:rsidP="00ED60F1">
      <w:pPr>
        <w:pStyle w:val="western"/>
        <w:spacing w:before="0" w:beforeAutospacing="0" w:after="0"/>
        <w:ind w:left="720" w:hanging="363"/>
        <w:jc w:val="both"/>
      </w:pPr>
      <w:r>
        <w:t xml:space="preserve">e)     údaje o bezpečnosti nanomateriálu ve vztahu ke kategorii kosmetického </w:t>
      </w:r>
      <w:r w:rsidR="00ED60F1">
        <w:t xml:space="preserve">přípravku, </w:t>
      </w:r>
      <w:r>
        <w:t>ve kterém je použit</w:t>
      </w:r>
    </w:p>
    <w:p w14:paraId="757460B6" w14:textId="77777777" w:rsidR="00E12CA4" w:rsidRDefault="00E12CA4" w:rsidP="00ED60F1">
      <w:pPr>
        <w:pStyle w:val="western"/>
        <w:spacing w:before="0" w:beforeAutospacing="0" w:after="0"/>
        <w:ind w:left="720" w:hanging="363"/>
        <w:jc w:val="both"/>
      </w:pPr>
      <w:r>
        <w:t>f)      rozumně předvídatelné podmínky expozice</w:t>
      </w:r>
    </w:p>
    <w:p w14:paraId="0CAF2A4B" w14:textId="77777777" w:rsidR="00E12CA4" w:rsidRDefault="00E12CA4" w:rsidP="00ED60F1">
      <w:pPr>
        <w:pStyle w:val="western"/>
        <w:spacing w:before="0" w:beforeAutospacing="0" w:after="0"/>
        <w:jc w:val="both"/>
      </w:pPr>
    </w:p>
    <w:p w14:paraId="36F6429C" w14:textId="77777777" w:rsidR="00E12CA4" w:rsidRDefault="00E12CA4" w:rsidP="00ED60F1">
      <w:pPr>
        <w:pStyle w:val="western"/>
        <w:spacing w:after="198"/>
        <w:jc w:val="both"/>
      </w:pPr>
      <w:r>
        <w:rPr>
          <w:rStyle w:val="Siln"/>
          <w:u w:val="single"/>
        </w:rPr>
        <w:t>Náležitosti označování (čl. 19)</w:t>
      </w:r>
      <w:r>
        <w:t> </w:t>
      </w:r>
    </w:p>
    <w:p w14:paraId="20661977" w14:textId="77777777" w:rsidR="00E12CA4" w:rsidRDefault="00E12CA4" w:rsidP="00ED60F1">
      <w:pPr>
        <w:pStyle w:val="Normlnweb"/>
        <w:spacing w:after="0"/>
        <w:jc w:val="both"/>
      </w:pPr>
      <w:r>
        <w:rPr>
          <w:rStyle w:val="Siln"/>
        </w:rPr>
        <w:t xml:space="preserve">Povinnost odpovědné osoby a distributora </w:t>
      </w:r>
    </w:p>
    <w:p w14:paraId="07EBA5F4" w14:textId="77777777" w:rsidR="00E12CA4" w:rsidRDefault="00E12CA4" w:rsidP="00ED60F1">
      <w:pPr>
        <w:pStyle w:val="Normlnweb"/>
        <w:spacing w:after="0"/>
        <w:jc w:val="both"/>
      </w:pPr>
      <w:r>
        <w:t xml:space="preserve">Kosmetický přípravek smí být dodáván na trh, pouze pokud jsou na obalu, do kterého je přípravek naplněn, a na jeho vnějším obalu </w:t>
      </w:r>
      <w:r>
        <w:rPr>
          <w:u w:val="single"/>
        </w:rPr>
        <w:t>nesmazatelně, čitelně a viditelně</w:t>
      </w:r>
      <w:r>
        <w:t xml:space="preserve"> uvedeny tyto údaje: </w:t>
      </w:r>
    </w:p>
    <w:p w14:paraId="764A2C32" w14:textId="77777777" w:rsidR="00E12CA4" w:rsidRDefault="00E12CA4" w:rsidP="00ED60F1">
      <w:pPr>
        <w:pStyle w:val="Normlnweb"/>
        <w:spacing w:before="0" w:beforeAutospacing="0" w:after="0"/>
        <w:jc w:val="both"/>
      </w:pPr>
      <w:r>
        <w:t> </w:t>
      </w:r>
    </w:p>
    <w:p w14:paraId="168E80F7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t>a.   </w:t>
      </w:r>
      <w:r>
        <w:t>jméno nebo zapsaný název a adresa odpovědné osoby, v případě dovážených kosmetických přípravků se uvádí země původu (povinnost odpovědné osoby a distributora)</w:t>
      </w:r>
    </w:p>
    <w:p w14:paraId="73F62E83" w14:textId="77777777" w:rsidR="00E12CA4" w:rsidRDefault="00E12CA4" w:rsidP="00ED60F1">
      <w:pPr>
        <w:pStyle w:val="Normlnweb"/>
        <w:spacing w:before="0" w:beforeAutospacing="0" w:after="0"/>
        <w:ind w:left="720"/>
        <w:jc w:val="both"/>
      </w:pPr>
      <w:r>
        <w:t> </w:t>
      </w:r>
    </w:p>
    <w:p w14:paraId="46634CED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lastRenderedPageBreak/>
        <w:t>b.    </w:t>
      </w:r>
      <w:r>
        <w:t>jmenovitý obsah v době balení vyjádřený v hmotnosti nebo objemu (povinnost odpovědné osoby)</w:t>
      </w:r>
    </w:p>
    <w:p w14:paraId="6A8B0B51" w14:textId="77777777" w:rsidR="00E12CA4" w:rsidRDefault="00E12CA4" w:rsidP="00ED60F1">
      <w:pPr>
        <w:pStyle w:val="Normlnweb"/>
        <w:spacing w:before="0" w:beforeAutospacing="0" w:after="0"/>
        <w:jc w:val="both"/>
      </w:pPr>
      <w:r>
        <w:t> </w:t>
      </w:r>
    </w:p>
    <w:p w14:paraId="733E1FDA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t>c.    </w:t>
      </w:r>
      <w:r>
        <w:t>datum, do kterého kosmetický přípravek skladovaný za vhodných podmínek bude nadále plnit svou původní funkci („datum minimální trvanlivosti“) + údaj o podmínkách, za kterých bude uvedená trvanlivost zaručena</w:t>
      </w:r>
    </w:p>
    <w:p w14:paraId="3158F0F2" w14:textId="77777777" w:rsidR="00E12CA4" w:rsidRDefault="00E12CA4" w:rsidP="00ED60F1">
      <w:pPr>
        <w:pStyle w:val="Normlnweb"/>
        <w:spacing w:before="0" w:beforeAutospacing="0" w:after="0"/>
        <w:jc w:val="both"/>
      </w:pPr>
      <w:r>
        <w:t> </w:t>
      </w:r>
    </w:p>
    <w:p w14:paraId="3C204C68" w14:textId="77777777" w:rsidR="00E12CA4" w:rsidRDefault="00E12CA4" w:rsidP="00ED60F1">
      <w:pPr>
        <w:pStyle w:val="Normlnweb"/>
        <w:spacing w:before="0" w:beforeAutospacing="0" w:after="0"/>
        <w:ind w:left="720"/>
        <w:jc w:val="both"/>
      </w:pPr>
      <w:r>
        <w:t>Údaj o minimální trvanlivosti není povinný u kosmetických přípravků, jejichž minimální trvanlivost přesahuje 30 měsíců. U těchto přípravků se uvede údaj o době, po kterou je přípravek po otevření bezpečný a lze jej používat, aniž by došlo k újmě na zdraví spotřebitele (povinnost odpovědné osoby) – symbol otevřeného kelímku (viz příloha VII.)</w:t>
      </w:r>
    </w:p>
    <w:p w14:paraId="3E1FF91D" w14:textId="77777777" w:rsidR="00E12CA4" w:rsidRDefault="00E12CA4" w:rsidP="00ED60F1">
      <w:pPr>
        <w:pStyle w:val="Normlnweb"/>
        <w:spacing w:before="0" w:beforeAutospacing="0" w:after="0"/>
        <w:ind w:left="720"/>
        <w:jc w:val="both"/>
      </w:pPr>
      <w:r>
        <w:t> </w:t>
      </w:r>
    </w:p>
    <w:p w14:paraId="6BA4A460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t>d.   </w:t>
      </w:r>
      <w:r>
        <w:t>zvláštní upozornění týkající se použití (povinnost odpovědné osoby)</w:t>
      </w:r>
    </w:p>
    <w:p w14:paraId="2642E4B9" w14:textId="77777777" w:rsidR="00E12CA4" w:rsidRDefault="00E12CA4" w:rsidP="00ED60F1">
      <w:pPr>
        <w:pStyle w:val="Normlnweb"/>
        <w:spacing w:before="0" w:beforeAutospacing="0" w:after="0"/>
        <w:jc w:val="both"/>
      </w:pPr>
      <w:r>
        <w:t> </w:t>
      </w:r>
    </w:p>
    <w:p w14:paraId="6F4D4BC5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t>e.   </w:t>
      </w:r>
      <w:r>
        <w:t>číslo šarže nebo odkaz umožňující identifikaci kosmetického přípravku (povinnost odpovědné osoby a distributora)</w:t>
      </w:r>
    </w:p>
    <w:p w14:paraId="0360B81C" w14:textId="77777777" w:rsidR="00E12CA4" w:rsidRDefault="00E12CA4" w:rsidP="00ED60F1">
      <w:pPr>
        <w:pStyle w:val="Normlnweb"/>
        <w:spacing w:before="0" w:beforeAutospacing="0" w:after="0"/>
        <w:jc w:val="both"/>
      </w:pPr>
      <w:r>
        <w:t> </w:t>
      </w:r>
    </w:p>
    <w:p w14:paraId="3083C13F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t>f.    </w:t>
      </w:r>
      <w:r>
        <w:t>funkce kosmetického přípravku, pokud není zřejmá z jeho obchodní úpravy (povinnost odpovědné osoby)</w:t>
      </w:r>
    </w:p>
    <w:p w14:paraId="499954C5" w14:textId="77777777" w:rsidR="00E12CA4" w:rsidRDefault="00E12CA4" w:rsidP="00ED60F1">
      <w:pPr>
        <w:pStyle w:val="Normlnweb"/>
        <w:spacing w:before="0" w:beforeAutospacing="0" w:after="0"/>
        <w:jc w:val="both"/>
      </w:pPr>
      <w:r>
        <w:t> </w:t>
      </w:r>
    </w:p>
    <w:p w14:paraId="1A55DCF7" w14:textId="77777777" w:rsidR="00E12CA4" w:rsidRDefault="00E12CA4" w:rsidP="00ED60F1">
      <w:pPr>
        <w:pStyle w:val="Normlnweb"/>
        <w:spacing w:before="0" w:beforeAutospacing="0" w:after="0"/>
        <w:ind w:left="720" w:hanging="363"/>
        <w:jc w:val="both"/>
      </w:pPr>
      <w:r>
        <w:rPr>
          <w:rStyle w:val="Siln"/>
        </w:rPr>
        <w:t>g.   </w:t>
      </w:r>
      <w:r>
        <w:t>seznam přísad uvedený slovem „Ingredients“ – může být pouze na vnějším obalu (povinnost odpovědné osoby a distributora)</w:t>
      </w:r>
    </w:p>
    <w:p w14:paraId="6B0AA993" w14:textId="77777777" w:rsidR="00E12CA4" w:rsidRDefault="00E12CA4" w:rsidP="00ED60F1">
      <w:pPr>
        <w:pStyle w:val="Normlnweb"/>
        <w:spacing w:before="0" w:beforeAutospacing="0" w:after="0"/>
        <w:ind w:left="720"/>
        <w:jc w:val="both"/>
      </w:pPr>
      <w:r>
        <w:t> </w:t>
      </w:r>
    </w:p>
    <w:p w14:paraId="13184EF0" w14:textId="77777777" w:rsidR="00E12CA4" w:rsidRDefault="00E12CA4" w:rsidP="00ED60F1">
      <w:pPr>
        <w:pStyle w:val="Normlnweb"/>
        <w:spacing w:after="0"/>
        <w:jc w:val="both"/>
      </w:pPr>
    </w:p>
    <w:p w14:paraId="2698FB45" w14:textId="77777777" w:rsidR="00E12CA4" w:rsidRDefault="00E12CA4" w:rsidP="00ED60F1">
      <w:pPr>
        <w:pStyle w:val="Normlnweb"/>
        <w:spacing w:after="0"/>
        <w:jc w:val="both"/>
      </w:pPr>
      <w:r>
        <w:rPr>
          <w:rStyle w:val="Siln"/>
          <w:u w:val="single"/>
        </w:rPr>
        <w:t>Upozornění:</w:t>
      </w:r>
      <w:r>
        <w:t xml:space="preserve"> výčet výše uvedených povinností není úplný a má pouze informativní charakter.</w:t>
      </w:r>
    </w:p>
    <w:p w14:paraId="55EC54BD" w14:textId="77777777" w:rsidR="00E12CA4" w:rsidRDefault="00E12CA4" w:rsidP="00ED60F1">
      <w:pPr>
        <w:pStyle w:val="Normlnweb"/>
        <w:spacing w:after="0"/>
        <w:jc w:val="both"/>
      </w:pPr>
    </w:p>
    <w:p w14:paraId="36479920" w14:textId="77777777" w:rsidR="00BF1691" w:rsidRPr="00E12CA4" w:rsidRDefault="00BF1691" w:rsidP="00E12CA4"/>
    <w:sectPr w:rsidR="00BF1691" w:rsidRPr="00E12CA4">
      <w:footerReference w:type="first" r:id="rId10"/>
      <w:pgSz w:w="11906" w:h="16838"/>
      <w:pgMar w:top="1418" w:right="1418" w:bottom="1418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B46E" w14:textId="77777777" w:rsidR="006A37A6" w:rsidRDefault="006A37A6">
      <w:r>
        <w:separator/>
      </w:r>
    </w:p>
  </w:endnote>
  <w:endnote w:type="continuationSeparator" w:id="0">
    <w:p w14:paraId="412529D3" w14:textId="77777777" w:rsidR="006A37A6" w:rsidRDefault="006A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958"/>
      <w:gridCol w:w="2002"/>
      <w:gridCol w:w="936"/>
      <w:gridCol w:w="1044"/>
      <w:gridCol w:w="2340"/>
      <w:gridCol w:w="2041"/>
    </w:tblGrid>
    <w:tr w:rsidR="00D42D87" w14:paraId="614405A3" w14:textId="77777777">
      <w:tc>
        <w:tcPr>
          <w:tcW w:w="1958" w:type="dxa"/>
          <w:shd w:val="clear" w:color="auto" w:fill="auto"/>
          <w:vAlign w:val="center"/>
        </w:tcPr>
        <w:p w14:paraId="1D935726" w14:textId="77777777" w:rsidR="00D42D87" w:rsidRDefault="00BF1691">
          <w:pPr>
            <w:snapToGrid w:val="0"/>
            <w:jc w:val="center"/>
          </w:pPr>
          <w:r>
            <w:rPr>
              <w:sz w:val="18"/>
              <w:szCs w:val="18"/>
            </w:rPr>
            <w:t>TELEFON</w:t>
          </w:r>
        </w:p>
      </w:tc>
      <w:tc>
        <w:tcPr>
          <w:tcW w:w="2002" w:type="dxa"/>
          <w:shd w:val="clear" w:color="auto" w:fill="auto"/>
          <w:vAlign w:val="center"/>
        </w:tcPr>
        <w:p w14:paraId="38831051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BANKOVNÍ SPOJENÍ</w:t>
          </w:r>
        </w:p>
      </w:tc>
      <w:tc>
        <w:tcPr>
          <w:tcW w:w="936" w:type="dxa"/>
          <w:shd w:val="clear" w:color="auto" w:fill="auto"/>
          <w:vAlign w:val="center"/>
        </w:tcPr>
        <w:p w14:paraId="1715C028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IČO</w:t>
          </w:r>
        </w:p>
      </w:tc>
      <w:tc>
        <w:tcPr>
          <w:tcW w:w="1044" w:type="dxa"/>
          <w:shd w:val="clear" w:color="auto" w:fill="auto"/>
          <w:vAlign w:val="center"/>
        </w:tcPr>
        <w:p w14:paraId="38797202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FAX</w:t>
          </w:r>
        </w:p>
      </w:tc>
      <w:tc>
        <w:tcPr>
          <w:tcW w:w="2340" w:type="dxa"/>
          <w:shd w:val="clear" w:color="auto" w:fill="auto"/>
        </w:tcPr>
        <w:p w14:paraId="26178866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ID DATOVÉ SCHRÁNKY</w:t>
          </w:r>
        </w:p>
      </w:tc>
      <w:tc>
        <w:tcPr>
          <w:tcW w:w="2041" w:type="dxa"/>
          <w:shd w:val="clear" w:color="auto" w:fill="auto"/>
          <w:vAlign w:val="center"/>
        </w:tcPr>
        <w:p w14:paraId="6FD88A71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e-mail</w:t>
          </w:r>
        </w:p>
      </w:tc>
    </w:tr>
    <w:tr w:rsidR="00D42D87" w14:paraId="6CDAF3A8" w14:textId="77777777">
      <w:tc>
        <w:tcPr>
          <w:tcW w:w="1958" w:type="dxa"/>
          <w:shd w:val="clear" w:color="auto" w:fill="auto"/>
          <w:vAlign w:val="center"/>
        </w:tcPr>
        <w:p w14:paraId="09993056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477755110, 477755111</w:t>
          </w:r>
        </w:p>
      </w:tc>
      <w:tc>
        <w:tcPr>
          <w:tcW w:w="2002" w:type="dxa"/>
          <w:shd w:val="clear" w:color="auto" w:fill="auto"/>
          <w:vAlign w:val="center"/>
        </w:tcPr>
        <w:p w14:paraId="54DFF8DB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ČNB ÚL 8327411/0710</w:t>
          </w:r>
        </w:p>
      </w:tc>
      <w:tc>
        <w:tcPr>
          <w:tcW w:w="936" w:type="dxa"/>
          <w:shd w:val="clear" w:color="auto" w:fill="auto"/>
          <w:vAlign w:val="center"/>
        </w:tcPr>
        <w:p w14:paraId="2F5ACA71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71009183</w:t>
          </w:r>
        </w:p>
      </w:tc>
      <w:tc>
        <w:tcPr>
          <w:tcW w:w="1044" w:type="dxa"/>
          <w:shd w:val="clear" w:color="auto" w:fill="auto"/>
          <w:vAlign w:val="center"/>
        </w:tcPr>
        <w:p w14:paraId="49152592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477755112</w:t>
          </w:r>
        </w:p>
      </w:tc>
      <w:tc>
        <w:tcPr>
          <w:tcW w:w="2340" w:type="dxa"/>
          <w:shd w:val="clear" w:color="auto" w:fill="auto"/>
        </w:tcPr>
        <w:p w14:paraId="4B4F27AF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8p3ai7n</w:t>
          </w:r>
        </w:p>
      </w:tc>
      <w:tc>
        <w:tcPr>
          <w:tcW w:w="2041" w:type="dxa"/>
          <w:shd w:val="clear" w:color="auto" w:fill="auto"/>
          <w:vAlign w:val="center"/>
        </w:tcPr>
        <w:p w14:paraId="36B22FA7" w14:textId="77777777" w:rsidR="00D42D87" w:rsidRDefault="00BF1691">
          <w:pPr>
            <w:jc w:val="center"/>
          </w:pPr>
          <w:r>
            <w:rPr>
              <w:sz w:val="18"/>
              <w:szCs w:val="18"/>
            </w:rPr>
            <w:t>e-podatelna@khsusti.cz</w:t>
          </w:r>
        </w:p>
      </w:tc>
    </w:tr>
  </w:tbl>
  <w:p w14:paraId="26C253A4" w14:textId="77777777" w:rsidR="00D42D87" w:rsidRDefault="00D42D87">
    <w:pPr>
      <w:rPr>
        <w:sz w:val="16"/>
        <w:szCs w:val="16"/>
      </w:rPr>
    </w:pPr>
  </w:p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6069"/>
      <w:gridCol w:w="4110"/>
    </w:tblGrid>
    <w:tr w:rsidR="00D42D87" w14:paraId="05901893" w14:textId="77777777">
      <w:tc>
        <w:tcPr>
          <w:tcW w:w="6069" w:type="dxa"/>
          <w:shd w:val="clear" w:color="auto" w:fill="auto"/>
          <w:vAlign w:val="center"/>
        </w:tcPr>
        <w:p w14:paraId="080F8BBB" w14:textId="77777777" w:rsidR="00D42D87" w:rsidRDefault="00BF1691">
          <w:proofErr w:type="spellStart"/>
          <w:r>
            <w:rPr>
              <w:sz w:val="16"/>
              <w:szCs w:val="16"/>
            </w:rPr>
            <w:t>ú.p</w:t>
          </w:r>
          <w:proofErr w:type="spellEnd"/>
          <w:r>
            <w:rPr>
              <w:sz w:val="16"/>
              <w:szCs w:val="16"/>
            </w:rPr>
            <w:t xml:space="preserve">. Děčín, Březinova 3, 406 83, tel. 477 755 210 </w:t>
          </w:r>
        </w:p>
      </w:tc>
      <w:tc>
        <w:tcPr>
          <w:tcW w:w="4110" w:type="dxa"/>
          <w:shd w:val="clear" w:color="auto" w:fill="auto"/>
          <w:vAlign w:val="center"/>
        </w:tcPr>
        <w:p w14:paraId="57702D8B" w14:textId="77777777" w:rsidR="00D42D87" w:rsidRDefault="00BF1691">
          <w:proofErr w:type="spellStart"/>
          <w:r>
            <w:rPr>
              <w:sz w:val="16"/>
              <w:szCs w:val="16"/>
            </w:rPr>
            <w:t>ú.p</w:t>
          </w:r>
          <w:proofErr w:type="spellEnd"/>
          <w:r>
            <w:rPr>
              <w:sz w:val="16"/>
              <w:szCs w:val="16"/>
            </w:rPr>
            <w:t>. Litoměřice, Mírové nám. 35, 412 46, tel. 477 755 510</w:t>
          </w:r>
        </w:p>
      </w:tc>
    </w:tr>
    <w:tr w:rsidR="00D42D87" w14:paraId="022A9EEC" w14:textId="77777777">
      <w:tc>
        <w:tcPr>
          <w:tcW w:w="6069" w:type="dxa"/>
          <w:shd w:val="clear" w:color="auto" w:fill="auto"/>
          <w:vAlign w:val="center"/>
        </w:tcPr>
        <w:p w14:paraId="040B622C" w14:textId="77777777" w:rsidR="00D42D87" w:rsidRDefault="00BF1691">
          <w:proofErr w:type="spellStart"/>
          <w:r>
            <w:rPr>
              <w:sz w:val="16"/>
              <w:szCs w:val="16"/>
            </w:rPr>
            <w:t>ú.p</w:t>
          </w:r>
          <w:proofErr w:type="spellEnd"/>
          <w:r>
            <w:rPr>
              <w:sz w:val="16"/>
              <w:szCs w:val="16"/>
            </w:rPr>
            <w:t>. Louny, Poděbradova 749, 440 01, tel. 477 755 610</w:t>
          </w:r>
        </w:p>
      </w:tc>
      <w:tc>
        <w:tcPr>
          <w:tcW w:w="4110" w:type="dxa"/>
          <w:shd w:val="clear" w:color="auto" w:fill="auto"/>
          <w:vAlign w:val="center"/>
        </w:tcPr>
        <w:p w14:paraId="43C1F040" w14:textId="77777777" w:rsidR="00D42D87" w:rsidRDefault="00BF1691">
          <w:proofErr w:type="spellStart"/>
          <w:r>
            <w:rPr>
              <w:sz w:val="16"/>
              <w:szCs w:val="16"/>
            </w:rPr>
            <w:t>ú.p</w:t>
          </w:r>
          <w:proofErr w:type="spellEnd"/>
          <w:r>
            <w:rPr>
              <w:sz w:val="16"/>
              <w:szCs w:val="16"/>
            </w:rPr>
            <w:t>. Chomutov, Kochova 1185, 430 01, tel. 477 755 310</w:t>
          </w:r>
        </w:p>
      </w:tc>
    </w:tr>
    <w:tr w:rsidR="00D42D87" w14:paraId="292C5A2D" w14:textId="77777777">
      <w:tc>
        <w:tcPr>
          <w:tcW w:w="6069" w:type="dxa"/>
          <w:shd w:val="clear" w:color="auto" w:fill="auto"/>
          <w:vAlign w:val="center"/>
        </w:tcPr>
        <w:p w14:paraId="381F64C7" w14:textId="77777777" w:rsidR="00D42D87" w:rsidRDefault="00BF1691">
          <w:proofErr w:type="spellStart"/>
          <w:r>
            <w:rPr>
              <w:sz w:val="16"/>
              <w:szCs w:val="16"/>
            </w:rPr>
            <w:t>ú.p</w:t>
          </w:r>
          <w:proofErr w:type="spellEnd"/>
          <w:r>
            <w:rPr>
              <w:sz w:val="16"/>
              <w:szCs w:val="16"/>
            </w:rPr>
            <w:t>. Teplice, Jiřího Wolkera 1342/4, 416 65, tel. 477 755 710</w:t>
          </w:r>
        </w:p>
      </w:tc>
      <w:tc>
        <w:tcPr>
          <w:tcW w:w="4110" w:type="dxa"/>
          <w:shd w:val="clear" w:color="auto" w:fill="auto"/>
          <w:vAlign w:val="center"/>
        </w:tcPr>
        <w:p w14:paraId="276A041B" w14:textId="77777777" w:rsidR="00D42D87" w:rsidRDefault="00BF1691">
          <w:proofErr w:type="spellStart"/>
          <w:r>
            <w:rPr>
              <w:sz w:val="16"/>
              <w:szCs w:val="16"/>
            </w:rPr>
            <w:t>ú.p</w:t>
          </w:r>
          <w:proofErr w:type="spellEnd"/>
          <w:r>
            <w:rPr>
              <w:sz w:val="16"/>
              <w:szCs w:val="16"/>
            </w:rPr>
            <w:t xml:space="preserve">. Most, </w:t>
          </w:r>
          <w:proofErr w:type="spellStart"/>
          <w:r>
            <w:rPr>
              <w:sz w:val="16"/>
              <w:szCs w:val="16"/>
            </w:rPr>
            <w:t>J.E.Purkyně</w:t>
          </w:r>
          <w:proofErr w:type="spellEnd"/>
          <w:r>
            <w:rPr>
              <w:sz w:val="16"/>
              <w:szCs w:val="16"/>
            </w:rPr>
            <w:t xml:space="preserve"> 270/5, 434 64, tel. 477 755 410</w:t>
          </w:r>
        </w:p>
      </w:tc>
    </w:tr>
  </w:tbl>
  <w:p w14:paraId="258C2613" w14:textId="77777777" w:rsidR="00D42D87" w:rsidRDefault="00D42D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A5D7" w14:textId="77777777" w:rsidR="006A37A6" w:rsidRDefault="006A37A6">
      <w:r>
        <w:separator/>
      </w:r>
    </w:p>
  </w:footnote>
  <w:footnote w:type="continuationSeparator" w:id="0">
    <w:p w14:paraId="66FAE64A" w14:textId="77777777" w:rsidR="006A37A6" w:rsidRDefault="006A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AAB"/>
    <w:multiLevelType w:val="multilevel"/>
    <w:tmpl w:val="ED12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77675"/>
    <w:multiLevelType w:val="multilevel"/>
    <w:tmpl w:val="686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820CE"/>
    <w:multiLevelType w:val="hybridMultilevel"/>
    <w:tmpl w:val="27D22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34F9"/>
    <w:multiLevelType w:val="multilevel"/>
    <w:tmpl w:val="D3E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A33BA"/>
    <w:multiLevelType w:val="multilevel"/>
    <w:tmpl w:val="43A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316361">
    <w:abstractNumId w:val="4"/>
  </w:num>
  <w:num w:numId="2" w16cid:durableId="437986043">
    <w:abstractNumId w:val="1"/>
  </w:num>
  <w:num w:numId="3" w16cid:durableId="475731419">
    <w:abstractNumId w:val="3"/>
  </w:num>
  <w:num w:numId="4" w16cid:durableId="72550358">
    <w:abstractNumId w:val="0"/>
  </w:num>
  <w:num w:numId="5" w16cid:durableId="1886717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A4"/>
    <w:rsid w:val="00047EB6"/>
    <w:rsid w:val="00080222"/>
    <w:rsid w:val="001F64AE"/>
    <w:rsid w:val="00255EE2"/>
    <w:rsid w:val="002A2CD1"/>
    <w:rsid w:val="003435A9"/>
    <w:rsid w:val="003A5118"/>
    <w:rsid w:val="004D23AA"/>
    <w:rsid w:val="0066461E"/>
    <w:rsid w:val="006A37A6"/>
    <w:rsid w:val="006A41E6"/>
    <w:rsid w:val="006B12F4"/>
    <w:rsid w:val="006C48CD"/>
    <w:rsid w:val="00742DEF"/>
    <w:rsid w:val="007B6898"/>
    <w:rsid w:val="008046FC"/>
    <w:rsid w:val="008C3B60"/>
    <w:rsid w:val="009A4802"/>
    <w:rsid w:val="009D37C2"/>
    <w:rsid w:val="00A47C4C"/>
    <w:rsid w:val="00AB513C"/>
    <w:rsid w:val="00AB7771"/>
    <w:rsid w:val="00BC6278"/>
    <w:rsid w:val="00BC682A"/>
    <w:rsid w:val="00BF1691"/>
    <w:rsid w:val="00C723C6"/>
    <w:rsid w:val="00CC0E91"/>
    <w:rsid w:val="00D42D87"/>
    <w:rsid w:val="00D5045A"/>
    <w:rsid w:val="00D97211"/>
    <w:rsid w:val="00E12CA4"/>
    <w:rsid w:val="00E251AF"/>
    <w:rsid w:val="00EA45FC"/>
    <w:rsid w:val="00ED60F1"/>
    <w:rsid w:val="00EF1E93"/>
    <w:rsid w:val="00F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0B008"/>
  <w15:chartTrackingRefBased/>
  <w15:docId w15:val="{A6C0E36F-D5DF-48C7-B820-65D94159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">
    <w:name w:val="odstavec"/>
    <w:basedOn w:val="Normln"/>
    <w:pPr>
      <w:ind w:firstLine="709"/>
      <w:jc w:val="both"/>
    </w:pPr>
    <w:rPr>
      <w:rFonts w:ascii="Arial" w:hAnsi="Arial" w:cs="Arial"/>
      <w:sz w:val="22"/>
      <w:szCs w:val="20"/>
    </w:rPr>
  </w:style>
  <w:style w:type="paragraph" w:styleId="Normlnweb">
    <w:name w:val="Normal (Web)"/>
    <w:basedOn w:val="Normln"/>
    <w:uiPriority w:val="99"/>
    <w:semiHidden/>
    <w:unhideWhenUsed/>
    <w:rsid w:val="00E12CA4"/>
    <w:pPr>
      <w:suppressAutoHyphens w:val="0"/>
      <w:spacing w:before="100" w:beforeAutospacing="1" w:after="119"/>
    </w:pPr>
    <w:rPr>
      <w:color w:val="000000"/>
      <w:lang w:eastAsia="cs-CZ"/>
    </w:rPr>
  </w:style>
  <w:style w:type="paragraph" w:customStyle="1" w:styleId="western">
    <w:name w:val="western"/>
    <w:basedOn w:val="Normln"/>
    <w:rsid w:val="00E12CA4"/>
    <w:pPr>
      <w:suppressAutoHyphens w:val="0"/>
      <w:spacing w:before="100" w:beforeAutospacing="1" w:after="119"/>
    </w:pPr>
    <w:rPr>
      <w:color w:val="000000"/>
      <w:lang w:eastAsia="cs-CZ"/>
    </w:rPr>
  </w:style>
  <w:style w:type="character" w:styleId="Siln">
    <w:name w:val="Strong"/>
    <w:uiPriority w:val="22"/>
    <w:qFormat/>
    <w:rsid w:val="00E12CA4"/>
    <w:rPr>
      <w:b/>
      <w:bCs/>
    </w:rPr>
  </w:style>
  <w:style w:type="character" w:styleId="Zdraznn">
    <w:name w:val="Emphasis"/>
    <w:uiPriority w:val="20"/>
    <w:qFormat/>
    <w:rsid w:val="00E12CA4"/>
    <w:rPr>
      <w:i/>
      <w:iCs/>
    </w:rPr>
  </w:style>
  <w:style w:type="character" w:styleId="Sledovanodkaz">
    <w:name w:val="FollowedHyperlink"/>
    <w:uiPriority w:val="99"/>
    <w:semiHidden/>
    <w:unhideWhenUsed/>
    <w:rsid w:val="00ED60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pnp/faq/?event=faq.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consumers/sectors/cosmetics/files/pdf/cpnp_user_manual_c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cr.cz/verejne/dokumenty/notifikace-kosmetickych-pripravku-evropsky-portalcpnp-_12884_1096_5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Pisemnost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Pisemnost</dc:title>
  <dc:subject/>
  <dc:creator>David Wildman</dc:creator>
  <cp:keywords/>
  <cp:lastModifiedBy>Riessová Miriam Ing.</cp:lastModifiedBy>
  <cp:revision>2</cp:revision>
  <cp:lastPrinted>1899-12-31T23:00:00Z</cp:lastPrinted>
  <dcterms:created xsi:type="dcterms:W3CDTF">2024-03-11T08:09:00Z</dcterms:created>
  <dcterms:modified xsi:type="dcterms:W3CDTF">2024-03-11T08:09:00Z</dcterms:modified>
</cp:coreProperties>
</file>