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0847" w14:textId="77777777" w:rsidR="00CE02CB" w:rsidRPr="004127E2" w:rsidRDefault="00CE02CB" w:rsidP="000A6226">
      <w:pPr>
        <w:jc w:val="both"/>
        <w:rPr>
          <w:rFonts w:asciiTheme="minorHAnsi" w:hAnsiTheme="minorHAnsi" w:cstheme="minorHAnsi"/>
        </w:rPr>
      </w:pPr>
    </w:p>
    <w:p w14:paraId="2B505125" w14:textId="5EA675AE" w:rsidR="00E26CC3" w:rsidRPr="00E26CC3" w:rsidRDefault="00E26CC3" w:rsidP="002A553C">
      <w:pPr>
        <w:jc w:val="center"/>
        <w:rPr>
          <w:rFonts w:asciiTheme="minorHAnsi" w:eastAsia="Microsoft YaHei" w:hAnsiTheme="minorHAnsi" w:cstheme="minorHAnsi"/>
          <w:b/>
          <w:bCs/>
          <w:sz w:val="28"/>
          <w:szCs w:val="28"/>
        </w:rPr>
      </w:pPr>
      <w:r w:rsidRPr="00E26CC3">
        <w:rPr>
          <w:rFonts w:asciiTheme="minorHAnsi" w:eastAsia="Microsoft YaHei" w:hAnsiTheme="minorHAnsi" w:cstheme="minorHAnsi"/>
          <w:b/>
          <w:bCs/>
          <w:sz w:val="28"/>
          <w:szCs w:val="28"/>
        </w:rPr>
        <w:t>Klíšťový zánět mozku a borelióza</w:t>
      </w:r>
    </w:p>
    <w:p w14:paraId="4345B835" w14:textId="77777777" w:rsidR="00E26CC3" w:rsidRPr="00E26CC3" w:rsidRDefault="00E26CC3" w:rsidP="000A6226">
      <w:pPr>
        <w:jc w:val="both"/>
        <w:rPr>
          <w:rFonts w:asciiTheme="minorHAnsi" w:eastAsia="Microsoft YaHei" w:hAnsiTheme="minorHAnsi" w:cstheme="minorHAnsi"/>
          <w:b/>
          <w:bCs/>
          <w:sz w:val="28"/>
          <w:szCs w:val="28"/>
        </w:rPr>
      </w:pPr>
    </w:p>
    <w:p w14:paraId="64B892D5" w14:textId="6C38397B" w:rsidR="00E26CC3" w:rsidRDefault="00E26CC3" w:rsidP="000A6226">
      <w:pPr>
        <w:jc w:val="both"/>
        <w:rPr>
          <w:rFonts w:asciiTheme="minorHAnsi" w:eastAsia="Microsoft YaHei" w:hAnsiTheme="minorHAnsi" w:cstheme="minorHAnsi"/>
        </w:rPr>
      </w:pPr>
      <w:r w:rsidRPr="00E26CC3">
        <w:rPr>
          <w:rFonts w:asciiTheme="minorHAnsi" w:eastAsia="Microsoft YaHei" w:hAnsiTheme="minorHAnsi" w:cstheme="minorHAnsi"/>
          <w:b/>
          <w:bCs/>
          <w:sz w:val="28"/>
          <w:szCs w:val="28"/>
        </w:rPr>
        <w:tab/>
      </w:r>
      <w:r w:rsidRPr="00E26CC3">
        <w:rPr>
          <w:rFonts w:asciiTheme="minorHAnsi" w:eastAsia="Microsoft YaHei" w:hAnsiTheme="minorHAnsi" w:cstheme="minorHAnsi"/>
        </w:rPr>
        <w:t>Klíšťový zánět mozku (klíšťová encefalitida) je onemocnění přenášené klíštětem obecným, další možnou cestou šíření je konzumace nepasterizovaného mléka nakažených domácích zvířat, ovcí, koz i krav. V posledních letech se onemocněním setkáváme jak v jižních, tak v severských zemích Evropy. V souvislosti s globálním oteplováním se posunul i výskyt klíšťat do vyšších nadmořských výšek. V některých oblastech jsou splněny podmínky pro dlouhodobé přežívání viru v lokální fauně (ohniska klíšťové encefalitidy),</w:t>
      </w:r>
      <w:r w:rsidR="002A553C">
        <w:rPr>
          <w:rFonts w:asciiTheme="minorHAnsi" w:eastAsia="Microsoft YaHei" w:hAnsiTheme="minorHAnsi" w:cstheme="minorHAnsi"/>
        </w:rPr>
        <w:t xml:space="preserve"> v rámci Ústeckého kraje jsou ohniska výskytu zejména v okresech Děčína Chomutov, v oblasti zalesněných okolí řek Labe a Ohře. </w:t>
      </w:r>
    </w:p>
    <w:p w14:paraId="3846B2DC" w14:textId="77777777" w:rsidR="002A553C" w:rsidRDefault="002A553C" w:rsidP="000A6226">
      <w:pPr>
        <w:jc w:val="both"/>
        <w:rPr>
          <w:rFonts w:asciiTheme="minorHAnsi" w:eastAsia="Microsoft YaHei" w:hAnsiTheme="minorHAnsi" w:cstheme="minorHAnsi"/>
        </w:rPr>
      </w:pPr>
    </w:p>
    <w:p w14:paraId="2D90DB85" w14:textId="78136915" w:rsidR="002A553C" w:rsidRPr="00E26CC3" w:rsidRDefault="002A553C" w:rsidP="000A6226">
      <w:pPr>
        <w:jc w:val="both"/>
        <w:rPr>
          <w:rFonts w:asciiTheme="minorHAnsi" w:eastAsia="Microsoft YaHei" w:hAnsiTheme="minorHAnsi" w:cstheme="minorHAnsi"/>
        </w:rPr>
      </w:pPr>
      <w:r>
        <w:rPr>
          <w:noProof/>
        </w:rPr>
        <w:drawing>
          <wp:inline distT="0" distB="0" distL="0" distR="0" wp14:anchorId="1BB339C0" wp14:editId="097E184E">
            <wp:extent cx="5610225" cy="2657475"/>
            <wp:effectExtent l="0" t="0" r="9525" b="9525"/>
            <wp:docPr id="1716599664" name="Graf 1">
              <a:extLst xmlns:a="http://schemas.openxmlformats.org/drawingml/2006/main">
                <a:ext uri="{FF2B5EF4-FFF2-40B4-BE49-F238E27FC236}">
                  <a16:creationId xmlns:a16="http://schemas.microsoft.com/office/drawing/2014/main" id="{BE427438-3182-38EB-9B54-F394633F40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62514E7D" w14:textId="036FD47C" w:rsidR="002A553C" w:rsidRDefault="00E26CC3" w:rsidP="000A6226">
      <w:pPr>
        <w:jc w:val="both"/>
        <w:rPr>
          <w:rFonts w:asciiTheme="minorHAnsi" w:eastAsia="Microsoft YaHei" w:hAnsiTheme="minorHAnsi" w:cstheme="minorHAnsi"/>
        </w:rPr>
      </w:pPr>
      <w:r w:rsidRPr="00E26CC3">
        <w:rPr>
          <w:rFonts w:asciiTheme="minorHAnsi" w:eastAsia="Microsoft YaHei" w:hAnsiTheme="minorHAnsi" w:cstheme="minorHAnsi"/>
        </w:rPr>
        <w:tab/>
      </w:r>
    </w:p>
    <w:p w14:paraId="17E5DD75" w14:textId="617F0E37" w:rsidR="00E26CC3" w:rsidRDefault="00E26CC3" w:rsidP="002A553C">
      <w:pPr>
        <w:ind w:firstLine="708"/>
        <w:jc w:val="both"/>
        <w:rPr>
          <w:rFonts w:asciiTheme="minorHAnsi" w:eastAsia="Microsoft YaHei" w:hAnsiTheme="minorHAnsi" w:cstheme="minorHAnsi"/>
        </w:rPr>
      </w:pPr>
      <w:r w:rsidRPr="00E26CC3">
        <w:rPr>
          <w:rFonts w:asciiTheme="minorHAnsi" w:eastAsia="Microsoft YaHei" w:hAnsiTheme="minorHAnsi" w:cstheme="minorHAnsi"/>
        </w:rPr>
        <w:t>Klíšťatům vyhovují teploty nad 5 °C, kdy se po zimě probouzí k životu a vyhledávají vhodného hostitele jako zdroj k sání krve.  Klíště prochází několika vývojovými stádii (larva-nymfa, dospělý jedinec</w:t>
      </w:r>
      <w:r w:rsidR="000A6226" w:rsidRPr="00E26CC3">
        <w:rPr>
          <w:rFonts w:asciiTheme="minorHAnsi" w:eastAsia="Microsoft YaHei" w:hAnsiTheme="minorHAnsi" w:cstheme="minorHAnsi"/>
        </w:rPr>
        <w:t>), z</w:t>
      </w:r>
      <w:r w:rsidRPr="00E26CC3">
        <w:rPr>
          <w:rFonts w:asciiTheme="minorHAnsi" w:eastAsia="Microsoft YaHei" w:hAnsiTheme="minorHAnsi" w:cstheme="minorHAnsi"/>
        </w:rPr>
        <w:t xml:space="preserve"> nichž každé saje krev a je schopné nákazu přenést. Krev sají na hlodavcích, divokých i domácích zvířatech, na </w:t>
      </w:r>
      <w:r w:rsidR="000A6226" w:rsidRPr="00E26CC3">
        <w:rPr>
          <w:rFonts w:asciiTheme="minorHAnsi" w:eastAsia="Microsoft YaHei" w:hAnsiTheme="minorHAnsi" w:cstheme="minorHAnsi"/>
        </w:rPr>
        <w:t>člověku,</w:t>
      </w:r>
      <w:r w:rsidRPr="00E26CC3">
        <w:rPr>
          <w:rFonts w:asciiTheme="minorHAnsi" w:eastAsia="Microsoft YaHei" w:hAnsiTheme="minorHAnsi" w:cstheme="minorHAnsi"/>
        </w:rPr>
        <w:t xml:space="preserve"> a dokonce i ptácích. </w:t>
      </w:r>
    </w:p>
    <w:p w14:paraId="0FFFE917" w14:textId="77777777" w:rsidR="002A553C" w:rsidRPr="00E26CC3" w:rsidRDefault="002A553C" w:rsidP="002A553C">
      <w:pPr>
        <w:ind w:firstLine="708"/>
        <w:jc w:val="both"/>
        <w:rPr>
          <w:rFonts w:asciiTheme="minorHAnsi" w:eastAsia="Microsoft YaHei" w:hAnsiTheme="minorHAnsi" w:cstheme="minorHAnsi"/>
        </w:rPr>
      </w:pPr>
    </w:p>
    <w:p w14:paraId="4E4B2F11" w14:textId="0737D119" w:rsidR="00E26CC3" w:rsidRDefault="00E26CC3" w:rsidP="000A6226">
      <w:pPr>
        <w:jc w:val="both"/>
        <w:rPr>
          <w:rFonts w:asciiTheme="minorHAnsi" w:eastAsia="Microsoft YaHei" w:hAnsiTheme="minorHAnsi" w:cstheme="minorHAnsi"/>
        </w:rPr>
      </w:pPr>
      <w:r w:rsidRPr="00E26CC3">
        <w:rPr>
          <w:rFonts w:asciiTheme="minorHAnsi" w:eastAsia="Microsoft YaHei" w:hAnsiTheme="minorHAnsi" w:cstheme="minorHAnsi"/>
        </w:rPr>
        <w:tab/>
        <w:t xml:space="preserve">Obě nemoci – klíšťová encefalitida a borelióza jsou vyvolány různými původci – virem klíšťové encefalitidy a baktériemi ze skupiny </w:t>
      </w:r>
      <w:r w:rsidR="002A553C" w:rsidRPr="00E26CC3">
        <w:rPr>
          <w:rFonts w:asciiTheme="minorHAnsi" w:eastAsia="Microsoft YaHei" w:hAnsiTheme="minorHAnsi" w:cstheme="minorHAnsi"/>
        </w:rPr>
        <w:t>spirochét -</w:t>
      </w:r>
      <w:r w:rsidRPr="00E26CC3">
        <w:rPr>
          <w:rFonts w:asciiTheme="minorHAnsi" w:eastAsia="Microsoft YaHei" w:hAnsiTheme="minorHAnsi" w:cstheme="minorHAnsi"/>
        </w:rPr>
        <w:t xml:space="preserve"> </w:t>
      </w:r>
      <w:proofErr w:type="spellStart"/>
      <w:r w:rsidRPr="00E26CC3">
        <w:rPr>
          <w:rFonts w:asciiTheme="minorHAnsi" w:eastAsia="Microsoft YaHei" w:hAnsiTheme="minorHAnsi" w:cstheme="minorHAnsi"/>
        </w:rPr>
        <w:t>Borrelia</w:t>
      </w:r>
      <w:proofErr w:type="spellEnd"/>
      <w:r w:rsidRPr="00E26CC3">
        <w:rPr>
          <w:rFonts w:asciiTheme="minorHAnsi" w:eastAsia="Microsoft YaHei" w:hAnsiTheme="minorHAnsi" w:cstheme="minorHAnsi"/>
        </w:rPr>
        <w:t xml:space="preserve">  </w:t>
      </w:r>
      <w:proofErr w:type="spellStart"/>
      <w:r w:rsidRPr="00E26CC3">
        <w:rPr>
          <w:rFonts w:asciiTheme="minorHAnsi" w:eastAsia="Microsoft YaHei" w:hAnsiTheme="minorHAnsi" w:cstheme="minorHAnsi"/>
        </w:rPr>
        <w:t>burgdorferi</w:t>
      </w:r>
      <w:proofErr w:type="spellEnd"/>
      <w:r w:rsidRPr="00E26CC3">
        <w:rPr>
          <w:rFonts w:asciiTheme="minorHAnsi" w:eastAsia="Microsoft YaHei" w:hAnsiTheme="minorHAnsi" w:cstheme="minorHAnsi"/>
        </w:rPr>
        <w:t xml:space="preserve"> </w:t>
      </w:r>
      <w:proofErr w:type="spellStart"/>
      <w:r w:rsidRPr="00E26CC3">
        <w:rPr>
          <w:rFonts w:asciiTheme="minorHAnsi" w:eastAsia="Microsoft YaHei" w:hAnsiTheme="minorHAnsi" w:cstheme="minorHAnsi"/>
        </w:rPr>
        <w:t>sensu</w:t>
      </w:r>
      <w:proofErr w:type="spellEnd"/>
      <w:r w:rsidRPr="00E26CC3">
        <w:rPr>
          <w:rFonts w:asciiTheme="minorHAnsi" w:eastAsia="Microsoft YaHei" w:hAnsiTheme="minorHAnsi" w:cstheme="minorHAnsi"/>
        </w:rPr>
        <w:t xml:space="preserve"> lato. Toto rozlišení je důležité z hlediska prevence a léčby obou onemocnění.</w:t>
      </w:r>
      <w:r w:rsidR="002A553C">
        <w:rPr>
          <w:rFonts w:asciiTheme="minorHAnsi" w:eastAsia="Microsoft YaHei" w:hAnsiTheme="minorHAnsi" w:cstheme="minorHAnsi"/>
        </w:rPr>
        <w:t xml:space="preserve"> </w:t>
      </w:r>
      <w:r w:rsidRPr="00E26CC3">
        <w:rPr>
          <w:rFonts w:asciiTheme="minorHAnsi" w:eastAsia="Microsoft YaHei" w:hAnsiTheme="minorHAnsi" w:cstheme="minorHAnsi"/>
        </w:rPr>
        <w:t>Také klinické projevy obou onemocnění jsou odlišné.</w:t>
      </w:r>
    </w:p>
    <w:p w14:paraId="3ACF6D28" w14:textId="77777777" w:rsidR="002A553C" w:rsidRPr="00E26CC3" w:rsidRDefault="002A553C" w:rsidP="000A6226">
      <w:pPr>
        <w:jc w:val="both"/>
        <w:rPr>
          <w:rFonts w:asciiTheme="minorHAnsi" w:eastAsia="Microsoft YaHei" w:hAnsiTheme="minorHAnsi" w:cstheme="minorHAnsi"/>
        </w:rPr>
      </w:pPr>
    </w:p>
    <w:p w14:paraId="35598E38" w14:textId="14394507" w:rsidR="00E26CC3" w:rsidRPr="00E26CC3" w:rsidRDefault="00E26CC3" w:rsidP="000A6226">
      <w:pPr>
        <w:jc w:val="both"/>
        <w:rPr>
          <w:rFonts w:asciiTheme="minorHAnsi" w:eastAsia="Microsoft YaHei" w:hAnsiTheme="minorHAnsi" w:cstheme="minorHAnsi"/>
        </w:rPr>
      </w:pPr>
      <w:r w:rsidRPr="00E26CC3">
        <w:rPr>
          <w:rFonts w:asciiTheme="minorHAnsi" w:eastAsia="Microsoft YaHei" w:hAnsiTheme="minorHAnsi" w:cstheme="minorHAnsi"/>
        </w:rPr>
        <w:tab/>
      </w:r>
      <w:r w:rsidRPr="000A6226">
        <w:rPr>
          <w:rFonts w:asciiTheme="minorHAnsi" w:eastAsia="Microsoft YaHei" w:hAnsiTheme="minorHAnsi" w:cstheme="minorHAnsi"/>
          <w:b/>
          <w:bCs/>
        </w:rPr>
        <w:t>Klíšťová encefalitida</w:t>
      </w:r>
      <w:r w:rsidRPr="00E26CC3">
        <w:rPr>
          <w:rFonts w:asciiTheme="minorHAnsi" w:eastAsia="Microsoft YaHei" w:hAnsiTheme="minorHAnsi" w:cstheme="minorHAnsi"/>
        </w:rPr>
        <w:t xml:space="preserve"> se objevuje po 7-28 dnech po zákusu infikovaného klíštěte, příznaky připomínají chřipku (teploty, bolesti hlavy a svalů a kloubů). Poté dojde k přechodnému zlepšení a po několikadenním klidu se projeví příznaky typickými pro postižení centrálního nervového systému (bolesti hlavy, zvracení, ztuhlostí šíje, světloplachostí, různým stupněm poruchy vědomí). Při těžkém průběhu může je nemocný ohrožen na životě. Po onemocnění mohou přetrvávat psychické problémy, nespavost, neschopnost soustředění, poruchy paměti, nebo </w:t>
      </w:r>
      <w:r w:rsidR="002A553C" w:rsidRPr="00E26CC3">
        <w:rPr>
          <w:rFonts w:asciiTheme="minorHAnsi" w:eastAsia="Microsoft YaHei" w:hAnsiTheme="minorHAnsi" w:cstheme="minorHAnsi"/>
        </w:rPr>
        <w:t>být poruchy</w:t>
      </w:r>
      <w:r w:rsidRPr="00E26CC3">
        <w:rPr>
          <w:rFonts w:asciiTheme="minorHAnsi" w:eastAsia="Microsoft YaHei" w:hAnsiTheme="minorHAnsi" w:cstheme="minorHAnsi"/>
        </w:rPr>
        <w:t xml:space="preserve"> hybnosti, obrny nervů nejrůznější lokalizace. Těžkým průběhem jsou ohroženi především starší osoby, které riziko vzniku onemocnění často zlehčují.</w:t>
      </w:r>
      <w:r w:rsidR="002A553C">
        <w:rPr>
          <w:rFonts w:asciiTheme="minorHAnsi" w:eastAsia="Microsoft YaHei" w:hAnsiTheme="minorHAnsi" w:cstheme="minorHAnsi"/>
        </w:rPr>
        <w:t xml:space="preserve"> Po prodělaném onemocnění je doživotní imunita. </w:t>
      </w:r>
    </w:p>
    <w:p w14:paraId="006C651A" w14:textId="77777777" w:rsidR="002A553C" w:rsidRDefault="002A553C" w:rsidP="002A553C">
      <w:pPr>
        <w:ind w:firstLine="708"/>
        <w:jc w:val="both"/>
        <w:rPr>
          <w:rFonts w:asciiTheme="minorHAnsi" w:eastAsia="Microsoft YaHei" w:hAnsiTheme="minorHAnsi" w:cstheme="minorHAnsi"/>
          <w:b/>
          <w:bCs/>
        </w:rPr>
      </w:pPr>
    </w:p>
    <w:p w14:paraId="0D3F9413" w14:textId="4125C6DE" w:rsidR="00E26CC3" w:rsidRPr="00E26CC3" w:rsidRDefault="002A553C" w:rsidP="002A553C">
      <w:pPr>
        <w:ind w:firstLine="708"/>
        <w:jc w:val="both"/>
        <w:rPr>
          <w:rFonts w:asciiTheme="minorHAnsi" w:eastAsia="Microsoft YaHei" w:hAnsiTheme="minorHAnsi" w:cstheme="minorHAnsi"/>
        </w:rPr>
      </w:pPr>
      <w:r w:rsidRPr="002A553C">
        <w:rPr>
          <w:rFonts w:asciiTheme="minorHAnsi" w:eastAsia="Microsoft YaHei" w:hAnsiTheme="minorHAnsi" w:cstheme="minorHAnsi"/>
          <w:b/>
          <w:bCs/>
        </w:rPr>
        <w:lastRenderedPageBreak/>
        <w:t>Borelióza</w:t>
      </w:r>
      <w:r>
        <w:rPr>
          <w:rFonts w:asciiTheme="minorHAnsi" w:eastAsia="Microsoft YaHei" w:hAnsiTheme="minorHAnsi" w:cstheme="minorHAnsi"/>
          <w:b/>
          <w:bCs/>
        </w:rPr>
        <w:t xml:space="preserve"> </w:t>
      </w:r>
      <w:r w:rsidR="00E26CC3" w:rsidRPr="00E26CC3">
        <w:rPr>
          <w:rFonts w:asciiTheme="minorHAnsi" w:eastAsia="Microsoft YaHei" w:hAnsiTheme="minorHAnsi" w:cstheme="minorHAnsi"/>
        </w:rPr>
        <w:t xml:space="preserve">má jako typický příznak zarudnutí v místě zákusu klíštěte, které se objeví za 3-30 dní po přisátí klíštěte. Zarudnutí </w:t>
      </w:r>
      <w:r w:rsidRPr="00E26CC3">
        <w:rPr>
          <w:rFonts w:asciiTheme="minorHAnsi" w:eastAsia="Microsoft YaHei" w:hAnsiTheme="minorHAnsi" w:cstheme="minorHAnsi"/>
        </w:rPr>
        <w:t>se šíří</w:t>
      </w:r>
      <w:r w:rsidR="00E26CC3" w:rsidRPr="00E26CC3">
        <w:rPr>
          <w:rFonts w:asciiTheme="minorHAnsi" w:eastAsia="Microsoft YaHei" w:hAnsiTheme="minorHAnsi" w:cstheme="minorHAnsi"/>
        </w:rPr>
        <w:t xml:space="preserve"> do okolí a v centru zarudnutí bledne. Může být přítomna teplota. V tomto stádiu je onemocnění dobře </w:t>
      </w:r>
      <w:r w:rsidRPr="00E26CC3">
        <w:rPr>
          <w:rFonts w:asciiTheme="minorHAnsi" w:eastAsia="Microsoft YaHei" w:hAnsiTheme="minorHAnsi" w:cstheme="minorHAnsi"/>
        </w:rPr>
        <w:t>léčitelné včasným</w:t>
      </w:r>
      <w:r w:rsidR="00E26CC3" w:rsidRPr="00E26CC3">
        <w:rPr>
          <w:rFonts w:asciiTheme="minorHAnsi" w:eastAsia="Microsoft YaHei" w:hAnsiTheme="minorHAnsi" w:cstheme="minorHAnsi"/>
        </w:rPr>
        <w:t xml:space="preserve"> podáním antibiotik. Neléčené onemocnění může vést k postižení centrálního nervového systému, chronickému postižení srdce, kloubů a kůže.  Poruchy mohou být i v oblasti psychické, např. únava deprese. Protože velká část infekcí probíhá bezpříznakově, má velký význam prevence přisátí klíštěte. V populaci klíšťat je </w:t>
      </w:r>
      <w:r w:rsidRPr="00E26CC3">
        <w:rPr>
          <w:rFonts w:asciiTheme="minorHAnsi" w:eastAsia="Microsoft YaHei" w:hAnsiTheme="minorHAnsi" w:cstheme="minorHAnsi"/>
        </w:rPr>
        <w:t>boreliózou infikováno</w:t>
      </w:r>
      <w:r w:rsidR="00E26CC3" w:rsidRPr="00E26CC3">
        <w:rPr>
          <w:rFonts w:asciiTheme="minorHAnsi" w:eastAsia="Microsoft YaHei" w:hAnsiTheme="minorHAnsi" w:cstheme="minorHAnsi"/>
        </w:rPr>
        <w:t xml:space="preserve"> až </w:t>
      </w:r>
      <w:r w:rsidRPr="00E26CC3">
        <w:rPr>
          <w:rFonts w:asciiTheme="minorHAnsi" w:eastAsia="Microsoft YaHei" w:hAnsiTheme="minorHAnsi" w:cstheme="minorHAnsi"/>
        </w:rPr>
        <w:t>10 %</w:t>
      </w:r>
      <w:r w:rsidR="00E26CC3" w:rsidRPr="00E26CC3">
        <w:rPr>
          <w:rFonts w:asciiTheme="minorHAnsi" w:eastAsia="Microsoft YaHei" w:hAnsiTheme="minorHAnsi" w:cstheme="minorHAnsi"/>
        </w:rPr>
        <w:t xml:space="preserve"> jedinců.</w:t>
      </w:r>
    </w:p>
    <w:p w14:paraId="1EACC73A" w14:textId="77777777" w:rsidR="002A553C" w:rsidRDefault="00E26CC3" w:rsidP="000A6226">
      <w:pPr>
        <w:jc w:val="both"/>
        <w:rPr>
          <w:rFonts w:asciiTheme="minorHAnsi" w:eastAsia="Microsoft YaHei" w:hAnsiTheme="minorHAnsi" w:cstheme="minorHAnsi"/>
        </w:rPr>
      </w:pPr>
      <w:r w:rsidRPr="00E26CC3">
        <w:rPr>
          <w:rFonts w:asciiTheme="minorHAnsi" w:eastAsia="Microsoft YaHei" w:hAnsiTheme="minorHAnsi" w:cstheme="minorHAnsi"/>
        </w:rPr>
        <w:tab/>
      </w:r>
    </w:p>
    <w:p w14:paraId="6563C80C" w14:textId="77777777" w:rsidR="002A553C" w:rsidRDefault="002A553C" w:rsidP="002A553C">
      <w:pPr>
        <w:jc w:val="both"/>
        <w:rPr>
          <w:rFonts w:asciiTheme="minorHAnsi" w:eastAsia="Microsoft YaHei" w:hAnsiTheme="minorHAnsi" w:cstheme="minorHAnsi"/>
        </w:rPr>
      </w:pPr>
    </w:p>
    <w:p w14:paraId="3FFE553E" w14:textId="77777777" w:rsidR="002A553C" w:rsidRDefault="002A553C" w:rsidP="002A553C">
      <w:pPr>
        <w:jc w:val="center"/>
        <w:rPr>
          <w:rFonts w:asciiTheme="minorHAnsi" w:eastAsia="Microsoft YaHei" w:hAnsiTheme="minorHAnsi" w:cstheme="minorHAnsi"/>
        </w:rPr>
      </w:pPr>
      <w:r w:rsidRPr="000A6226">
        <w:rPr>
          <w:noProof/>
        </w:rPr>
        <w:drawing>
          <wp:inline distT="0" distB="0" distL="0" distR="0" wp14:anchorId="514B0DA8" wp14:editId="4757C005">
            <wp:extent cx="4743449" cy="2533650"/>
            <wp:effectExtent l="0" t="0" r="635" b="0"/>
            <wp:docPr id="1035476574" name="Obrázek 1" descr="Obsah obrázku bezobratlý, hmyz, škůdce, členov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76574" name="Obrázek 1" descr="Obsah obrázku bezobratlý, hmyz, škůdce, členovec&#10;&#10;Popis byl vytvořen automaticky"/>
                    <pic:cNvPicPr/>
                  </pic:nvPicPr>
                  <pic:blipFill rotWithShape="1">
                    <a:blip r:embed="rId8"/>
                    <a:srcRect l="15024" t="14286" r="9401" b="19048"/>
                    <a:stretch/>
                  </pic:blipFill>
                  <pic:spPr bwMode="auto">
                    <a:xfrm>
                      <a:off x="0" y="0"/>
                      <a:ext cx="4764880" cy="2545097"/>
                    </a:xfrm>
                    <a:prstGeom prst="rect">
                      <a:avLst/>
                    </a:prstGeom>
                    <a:ln>
                      <a:noFill/>
                    </a:ln>
                    <a:extLst>
                      <a:ext uri="{53640926-AAD7-44D8-BBD7-CCE9431645EC}">
                        <a14:shadowObscured xmlns:a14="http://schemas.microsoft.com/office/drawing/2010/main"/>
                      </a:ext>
                    </a:extLst>
                  </pic:spPr>
                </pic:pic>
              </a:graphicData>
            </a:graphic>
          </wp:inline>
        </w:drawing>
      </w:r>
    </w:p>
    <w:p w14:paraId="1B19000C" w14:textId="77777777" w:rsidR="002A553C" w:rsidRDefault="002A553C" w:rsidP="002A553C">
      <w:pPr>
        <w:jc w:val="both"/>
        <w:rPr>
          <w:rFonts w:asciiTheme="minorHAnsi" w:eastAsia="Microsoft YaHei" w:hAnsiTheme="minorHAnsi" w:cstheme="minorHAnsi"/>
        </w:rPr>
      </w:pPr>
    </w:p>
    <w:p w14:paraId="29237BA4" w14:textId="77777777" w:rsidR="002A553C" w:rsidRDefault="002A553C" w:rsidP="002A553C">
      <w:pPr>
        <w:jc w:val="center"/>
        <w:rPr>
          <w:rFonts w:asciiTheme="minorHAnsi" w:eastAsia="Microsoft YaHei" w:hAnsiTheme="minorHAnsi" w:cstheme="minorHAnsi"/>
        </w:rPr>
      </w:pPr>
      <w:r>
        <w:rPr>
          <w:rFonts w:asciiTheme="minorHAnsi" w:eastAsia="Microsoft YaHei" w:hAnsiTheme="minorHAnsi" w:cstheme="minorHAnsi"/>
        </w:rPr>
        <w:t>Obr.1 – klíště obecné (</w:t>
      </w:r>
      <w:proofErr w:type="spellStart"/>
      <w:r>
        <w:rPr>
          <w:rFonts w:asciiTheme="minorHAnsi" w:eastAsia="Microsoft YaHei" w:hAnsiTheme="minorHAnsi" w:cstheme="minorHAnsi"/>
        </w:rPr>
        <w:t>Ixodes</w:t>
      </w:r>
      <w:proofErr w:type="spellEnd"/>
      <w:r>
        <w:rPr>
          <w:rFonts w:asciiTheme="minorHAnsi" w:eastAsia="Microsoft YaHei" w:hAnsiTheme="minorHAnsi" w:cstheme="minorHAnsi"/>
        </w:rPr>
        <w:t xml:space="preserve"> </w:t>
      </w:r>
      <w:proofErr w:type="spellStart"/>
      <w:r>
        <w:rPr>
          <w:rFonts w:asciiTheme="minorHAnsi" w:eastAsia="Microsoft YaHei" w:hAnsiTheme="minorHAnsi" w:cstheme="minorHAnsi"/>
        </w:rPr>
        <w:t>ricinus</w:t>
      </w:r>
      <w:proofErr w:type="spellEnd"/>
      <w:r>
        <w:rPr>
          <w:rFonts w:asciiTheme="minorHAnsi" w:eastAsia="Microsoft YaHei" w:hAnsiTheme="minorHAnsi" w:cstheme="minorHAnsi"/>
        </w:rPr>
        <w:t>), zdroj: ECDC</w:t>
      </w:r>
    </w:p>
    <w:p w14:paraId="014FA9C0" w14:textId="77777777" w:rsidR="002A553C" w:rsidRDefault="002A553C" w:rsidP="002A553C">
      <w:pPr>
        <w:jc w:val="center"/>
        <w:rPr>
          <w:rFonts w:asciiTheme="minorHAnsi" w:eastAsia="Microsoft YaHei" w:hAnsiTheme="minorHAnsi" w:cstheme="minorHAnsi"/>
        </w:rPr>
      </w:pPr>
    </w:p>
    <w:p w14:paraId="5B20620F" w14:textId="07E8D714" w:rsidR="00E26CC3" w:rsidRPr="00E26CC3" w:rsidRDefault="00E26CC3" w:rsidP="000A6226">
      <w:pPr>
        <w:jc w:val="both"/>
        <w:rPr>
          <w:rFonts w:asciiTheme="minorHAnsi" w:eastAsia="Microsoft YaHei" w:hAnsiTheme="minorHAnsi" w:cstheme="minorHAnsi"/>
        </w:rPr>
      </w:pPr>
      <w:r w:rsidRPr="00E26CC3">
        <w:rPr>
          <w:rFonts w:asciiTheme="minorHAnsi" w:eastAsia="Microsoft YaHei" w:hAnsiTheme="minorHAnsi" w:cstheme="minorHAnsi"/>
        </w:rPr>
        <w:t xml:space="preserve">Velmi účinným opatřením je </w:t>
      </w:r>
      <w:r w:rsidR="002A553C" w:rsidRPr="00E26CC3">
        <w:rPr>
          <w:rFonts w:asciiTheme="minorHAnsi" w:eastAsia="Microsoft YaHei" w:hAnsiTheme="minorHAnsi" w:cstheme="minorHAnsi"/>
        </w:rPr>
        <w:t>vhodné světlé</w:t>
      </w:r>
      <w:r w:rsidRPr="00E26CC3">
        <w:rPr>
          <w:rFonts w:asciiTheme="minorHAnsi" w:eastAsia="Microsoft YaHei" w:hAnsiTheme="minorHAnsi" w:cstheme="minorHAnsi"/>
        </w:rPr>
        <w:t xml:space="preserve"> oblečení při pobytu v přírodě, nepohybovat se v místech s </w:t>
      </w:r>
      <w:r w:rsidR="002A553C" w:rsidRPr="00E26CC3">
        <w:rPr>
          <w:rFonts w:asciiTheme="minorHAnsi" w:eastAsia="Microsoft YaHei" w:hAnsiTheme="minorHAnsi" w:cstheme="minorHAnsi"/>
        </w:rPr>
        <w:t>neošetřenou vzrostlou vegetací</w:t>
      </w:r>
      <w:r w:rsidRPr="00E26CC3">
        <w:rPr>
          <w:rFonts w:asciiTheme="minorHAnsi" w:eastAsia="Microsoft YaHei" w:hAnsiTheme="minorHAnsi" w:cstheme="minorHAnsi"/>
        </w:rPr>
        <w:t xml:space="preserve">. Dále je možné doplnit ochranu o použití repelentů na tělo i na oděv.  Klíště nepadá na hostitele ze </w:t>
      </w:r>
      <w:r w:rsidR="002A553C" w:rsidRPr="00E26CC3">
        <w:rPr>
          <w:rFonts w:asciiTheme="minorHAnsi" w:eastAsia="Microsoft YaHei" w:hAnsiTheme="minorHAnsi" w:cstheme="minorHAnsi"/>
        </w:rPr>
        <w:t>stromů, ale</w:t>
      </w:r>
      <w:r w:rsidRPr="00E26CC3">
        <w:rPr>
          <w:rFonts w:asciiTheme="minorHAnsi" w:eastAsia="Microsoft YaHei" w:hAnsiTheme="minorHAnsi" w:cstheme="minorHAnsi"/>
        </w:rPr>
        <w:t xml:space="preserve"> získá se otěrem o vzrostlou trávu nebo křoviny.</w:t>
      </w:r>
    </w:p>
    <w:p w14:paraId="045ECC65" w14:textId="3E73F75A" w:rsidR="00E26CC3" w:rsidRDefault="00E26CC3" w:rsidP="000A6226">
      <w:pPr>
        <w:jc w:val="both"/>
        <w:rPr>
          <w:rFonts w:asciiTheme="minorHAnsi" w:eastAsia="Microsoft YaHei" w:hAnsiTheme="minorHAnsi" w:cstheme="minorHAnsi"/>
        </w:rPr>
      </w:pPr>
      <w:r w:rsidRPr="00E26CC3">
        <w:rPr>
          <w:rFonts w:asciiTheme="minorHAnsi" w:eastAsia="Microsoft YaHei" w:hAnsiTheme="minorHAnsi" w:cstheme="minorHAnsi"/>
        </w:rPr>
        <w:tab/>
        <w:t xml:space="preserve">Rozhodující pro přenos obou infekcí je doba přisátí klíštěte, u klíšťové </w:t>
      </w:r>
      <w:r w:rsidR="002A553C" w:rsidRPr="00E26CC3">
        <w:rPr>
          <w:rFonts w:asciiTheme="minorHAnsi" w:eastAsia="Microsoft YaHei" w:hAnsiTheme="minorHAnsi" w:cstheme="minorHAnsi"/>
        </w:rPr>
        <w:t>encefalitidy je</w:t>
      </w:r>
      <w:r w:rsidRPr="00E26CC3">
        <w:rPr>
          <w:rFonts w:asciiTheme="minorHAnsi" w:eastAsia="Microsoft YaHei" w:hAnsiTheme="minorHAnsi" w:cstheme="minorHAnsi"/>
        </w:rPr>
        <w:t xml:space="preserve"> tato doba do 2 hodin od přisátí. Proto je důležité kontrolovat v pravidelných intervalech, zda se klíšťata na oděvu či pokožce nevyskytují a bezpečně je odstranit. Pokud již k zákusu klíštěte došlo, odstranit klíště pinzetou a ranku ošetřit vhodným antiseptikem. Nikdy se nedotýkejte klíštěte nechráněnými prsty.</w:t>
      </w:r>
    </w:p>
    <w:p w14:paraId="4B6A1176" w14:textId="77777777" w:rsidR="002A553C" w:rsidRPr="00E26CC3" w:rsidRDefault="002A553C" w:rsidP="000A6226">
      <w:pPr>
        <w:jc w:val="both"/>
        <w:rPr>
          <w:rFonts w:asciiTheme="minorHAnsi" w:eastAsia="Microsoft YaHei" w:hAnsiTheme="minorHAnsi" w:cstheme="minorHAnsi"/>
        </w:rPr>
      </w:pPr>
    </w:p>
    <w:p w14:paraId="43D3E43B" w14:textId="15B33752" w:rsidR="00E26CC3" w:rsidRPr="00E26CC3" w:rsidRDefault="00E26CC3" w:rsidP="000A6226">
      <w:pPr>
        <w:jc w:val="both"/>
        <w:rPr>
          <w:rFonts w:asciiTheme="minorHAnsi" w:eastAsia="Microsoft YaHei" w:hAnsiTheme="minorHAnsi" w:cstheme="minorHAnsi"/>
        </w:rPr>
      </w:pPr>
      <w:r w:rsidRPr="00E26CC3">
        <w:rPr>
          <w:rFonts w:asciiTheme="minorHAnsi" w:eastAsia="Microsoft YaHei" w:hAnsiTheme="minorHAnsi" w:cstheme="minorHAnsi"/>
        </w:rPr>
        <w:tab/>
        <w:t xml:space="preserve">Velmi důležitým opatřením proti vzniku onemocnění klíšťovou encefalitidou je </w:t>
      </w:r>
      <w:r w:rsidRPr="002A553C">
        <w:rPr>
          <w:rFonts w:asciiTheme="minorHAnsi" w:eastAsia="Microsoft YaHei" w:hAnsiTheme="minorHAnsi" w:cstheme="minorHAnsi"/>
          <w:b/>
          <w:bCs/>
        </w:rPr>
        <w:t>očkování</w:t>
      </w:r>
      <w:r w:rsidRPr="00E26CC3">
        <w:rPr>
          <w:rFonts w:asciiTheme="minorHAnsi" w:eastAsia="Microsoft YaHei" w:hAnsiTheme="minorHAnsi" w:cstheme="minorHAnsi"/>
        </w:rPr>
        <w:t xml:space="preserve">, které dokáže očkovanou osobu ochránit. Očkuje se v průběhu celého roku, nikoliv pouze v podzimních či zimních měsících. Základní schéma podání vakcíny je 1. dávka – 2.dávka za 1-3 měsíce 3. Dávka za 5-12 měsíců. Při potřebě zajistit imunitu za kratší dobu lze 2. dávku podat za 14 dní s tím že imunita nastoupí již za 2 týdny po této dávce. Poté se přeočkovává vždy jednou dávkou vakcíny za 3, nebo </w:t>
      </w:r>
      <w:r w:rsidR="002A553C" w:rsidRPr="00E26CC3">
        <w:rPr>
          <w:rFonts w:asciiTheme="minorHAnsi" w:eastAsia="Microsoft YaHei" w:hAnsiTheme="minorHAnsi" w:cstheme="minorHAnsi"/>
        </w:rPr>
        <w:t>5 let</w:t>
      </w:r>
      <w:r w:rsidRPr="00E26CC3">
        <w:rPr>
          <w:rFonts w:asciiTheme="minorHAnsi" w:eastAsia="Microsoft YaHei" w:hAnsiTheme="minorHAnsi" w:cstheme="minorHAnsi"/>
        </w:rPr>
        <w:t>, podle věku očkované osoby.</w:t>
      </w:r>
    </w:p>
    <w:p w14:paraId="32E78559" w14:textId="77777777" w:rsidR="00E26CC3" w:rsidRPr="00E26CC3" w:rsidRDefault="00E26CC3" w:rsidP="000A6226">
      <w:pPr>
        <w:jc w:val="both"/>
        <w:rPr>
          <w:rFonts w:asciiTheme="minorHAnsi" w:eastAsia="Microsoft YaHei" w:hAnsiTheme="minorHAnsi" w:cstheme="minorHAnsi"/>
        </w:rPr>
      </w:pPr>
    </w:p>
    <w:p w14:paraId="76F37FF8" w14:textId="5BD9915A" w:rsidR="00E26CC3" w:rsidRPr="00E26CC3" w:rsidRDefault="00E26CC3" w:rsidP="000A6226">
      <w:pPr>
        <w:jc w:val="both"/>
        <w:rPr>
          <w:rFonts w:asciiTheme="minorHAnsi" w:eastAsia="Microsoft YaHei" w:hAnsiTheme="minorHAnsi" w:cstheme="minorHAnsi"/>
        </w:rPr>
      </w:pPr>
      <w:r w:rsidRPr="00E26CC3">
        <w:rPr>
          <w:rFonts w:asciiTheme="minorHAnsi" w:eastAsia="Microsoft YaHei" w:hAnsiTheme="minorHAnsi" w:cstheme="minorHAnsi"/>
        </w:rPr>
        <w:tab/>
        <w:t xml:space="preserve">Očkování proti borelióze není v současné době pro očkování lidí k dispozici, ale na vakcíně pro potřebu humánní medicíny </w:t>
      </w:r>
      <w:r w:rsidR="002A553C" w:rsidRPr="00E26CC3">
        <w:rPr>
          <w:rFonts w:asciiTheme="minorHAnsi" w:eastAsia="Microsoft YaHei" w:hAnsiTheme="minorHAnsi" w:cstheme="minorHAnsi"/>
        </w:rPr>
        <w:t>se intenzivně</w:t>
      </w:r>
      <w:r w:rsidRPr="00E26CC3">
        <w:rPr>
          <w:rFonts w:asciiTheme="minorHAnsi" w:eastAsia="Microsoft YaHei" w:hAnsiTheme="minorHAnsi" w:cstheme="minorHAnsi"/>
        </w:rPr>
        <w:t xml:space="preserve"> pracuje. U boreliózy je možné zasáhnout nejlépe v časném stadiu, </w:t>
      </w:r>
      <w:r w:rsidR="002A553C" w:rsidRPr="00E26CC3">
        <w:rPr>
          <w:rFonts w:asciiTheme="minorHAnsi" w:eastAsia="Microsoft YaHei" w:hAnsiTheme="minorHAnsi" w:cstheme="minorHAnsi"/>
        </w:rPr>
        <w:t>tedy při</w:t>
      </w:r>
      <w:r w:rsidRPr="00E26CC3">
        <w:rPr>
          <w:rFonts w:asciiTheme="minorHAnsi" w:eastAsia="Microsoft YaHei" w:hAnsiTheme="minorHAnsi" w:cstheme="minorHAnsi"/>
        </w:rPr>
        <w:t xml:space="preserve"> výskytu zarudnutí (</w:t>
      </w:r>
      <w:proofErr w:type="spellStart"/>
      <w:r w:rsidRPr="00E26CC3">
        <w:rPr>
          <w:rFonts w:asciiTheme="minorHAnsi" w:eastAsia="Microsoft YaHei" w:hAnsiTheme="minorHAnsi" w:cstheme="minorHAnsi"/>
        </w:rPr>
        <w:t>Erythema</w:t>
      </w:r>
      <w:proofErr w:type="spellEnd"/>
      <w:r w:rsidRPr="00E26CC3">
        <w:rPr>
          <w:rFonts w:asciiTheme="minorHAnsi" w:eastAsia="Microsoft YaHei" w:hAnsiTheme="minorHAnsi" w:cstheme="minorHAnsi"/>
        </w:rPr>
        <w:t xml:space="preserve"> </w:t>
      </w:r>
      <w:proofErr w:type="spellStart"/>
      <w:r w:rsidRPr="00E26CC3">
        <w:rPr>
          <w:rFonts w:asciiTheme="minorHAnsi" w:eastAsia="Microsoft YaHei" w:hAnsiTheme="minorHAnsi" w:cstheme="minorHAnsi"/>
        </w:rPr>
        <w:t>migrans</w:t>
      </w:r>
      <w:proofErr w:type="spellEnd"/>
      <w:r w:rsidRPr="00E26CC3">
        <w:rPr>
          <w:rFonts w:asciiTheme="minorHAnsi" w:eastAsia="Microsoft YaHei" w:hAnsiTheme="minorHAnsi" w:cstheme="minorHAnsi"/>
        </w:rPr>
        <w:t>) antibiotiky,</w:t>
      </w:r>
    </w:p>
    <w:p w14:paraId="768148B9" w14:textId="1BC008B3" w:rsidR="00E26CC3" w:rsidRPr="00E26CC3" w:rsidRDefault="00E26CC3" w:rsidP="000A6226">
      <w:pPr>
        <w:jc w:val="both"/>
        <w:rPr>
          <w:rFonts w:asciiTheme="minorHAnsi" w:eastAsia="Microsoft YaHei" w:hAnsiTheme="minorHAnsi" w:cstheme="minorHAnsi"/>
        </w:rPr>
      </w:pPr>
      <w:r w:rsidRPr="00E26CC3">
        <w:rPr>
          <w:rFonts w:asciiTheme="minorHAnsi" w:eastAsia="Microsoft YaHei" w:hAnsiTheme="minorHAnsi" w:cstheme="minorHAnsi"/>
        </w:rPr>
        <w:t xml:space="preserve">Při využití uvedených opatření si můžeme velmi efektivně </w:t>
      </w:r>
      <w:r w:rsidR="002A553C" w:rsidRPr="00E26CC3">
        <w:rPr>
          <w:rFonts w:asciiTheme="minorHAnsi" w:eastAsia="Microsoft YaHei" w:hAnsiTheme="minorHAnsi" w:cstheme="minorHAnsi"/>
        </w:rPr>
        <w:t>chránit naše</w:t>
      </w:r>
      <w:r w:rsidRPr="00E26CC3">
        <w:rPr>
          <w:rFonts w:asciiTheme="minorHAnsi" w:eastAsia="Microsoft YaHei" w:hAnsiTheme="minorHAnsi" w:cstheme="minorHAnsi"/>
        </w:rPr>
        <w:t xml:space="preserve"> zdraví.</w:t>
      </w:r>
    </w:p>
    <w:p w14:paraId="58CFD652" w14:textId="77777777" w:rsidR="00E26CC3" w:rsidRPr="00E26CC3" w:rsidRDefault="00E26CC3" w:rsidP="000A6226">
      <w:pPr>
        <w:jc w:val="both"/>
        <w:rPr>
          <w:rFonts w:asciiTheme="minorHAnsi" w:eastAsia="Microsoft YaHei" w:hAnsiTheme="minorHAnsi" w:cstheme="minorHAnsi"/>
        </w:rPr>
      </w:pPr>
    </w:p>
    <w:p w14:paraId="385DDE08" w14:textId="77777777" w:rsidR="00E26CC3" w:rsidRPr="00E26CC3" w:rsidRDefault="00E26CC3" w:rsidP="000A6226">
      <w:pPr>
        <w:jc w:val="both"/>
        <w:rPr>
          <w:rFonts w:asciiTheme="minorHAnsi" w:eastAsia="Microsoft YaHei" w:hAnsiTheme="minorHAnsi" w:cstheme="minorHAnsi"/>
        </w:rPr>
      </w:pPr>
    </w:p>
    <w:p w14:paraId="041BB55F" w14:textId="77777777" w:rsidR="00E26CC3" w:rsidRPr="00E26CC3" w:rsidRDefault="00E26CC3" w:rsidP="000A6226">
      <w:pPr>
        <w:jc w:val="both"/>
        <w:rPr>
          <w:rFonts w:asciiTheme="minorHAnsi" w:eastAsia="Microsoft YaHei" w:hAnsiTheme="minorHAnsi" w:cstheme="minorHAnsi"/>
        </w:rPr>
      </w:pPr>
    </w:p>
    <w:sectPr w:rsidR="00E26CC3" w:rsidRPr="00E26CC3">
      <w:headerReference w:type="default" r:id="rId9"/>
      <w:footerReference w:type="default" r:id="rId10"/>
      <w:headerReference w:type="first" r:id="rId11"/>
      <w:footerReference w:type="first" r:id="rId12"/>
      <w:pgSz w:w="11906" w:h="16838"/>
      <w:pgMar w:top="1418" w:right="1418" w:bottom="559" w:left="1418" w:header="539"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9FF64" w14:textId="77777777" w:rsidR="004F2E86" w:rsidRDefault="004F2E86">
      <w:r>
        <w:separator/>
      </w:r>
    </w:p>
  </w:endnote>
  <w:endnote w:type="continuationSeparator" w:id="0">
    <w:p w14:paraId="5F5EA20C" w14:textId="77777777" w:rsidR="004F2E86" w:rsidRDefault="004F2E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Arial">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D3621" w14:textId="77777777" w:rsidR="00024DD4" w:rsidRDefault="00024DD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CD27" w14:textId="77777777" w:rsidR="00024DD4" w:rsidRDefault="00024DD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6A2FE" w14:textId="77777777" w:rsidR="004F2E86" w:rsidRDefault="004F2E86">
      <w:r>
        <w:separator/>
      </w:r>
    </w:p>
  </w:footnote>
  <w:footnote w:type="continuationSeparator" w:id="0">
    <w:p w14:paraId="1CC6826C" w14:textId="77777777" w:rsidR="004F2E86" w:rsidRDefault="004F2E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92C1D" w14:textId="77777777" w:rsidR="00024DD4" w:rsidRDefault="00024DD4">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98F24" w14:textId="77777777" w:rsidR="00024DD4" w:rsidRDefault="00526C4A">
    <w:pPr>
      <w:jc w:val="center"/>
      <w:rPr>
        <w:sz w:val="36"/>
        <w:szCs w:val="36"/>
      </w:rPr>
    </w:pPr>
    <w:r>
      <w:rPr>
        <w:sz w:val="36"/>
        <w:szCs w:val="36"/>
      </w:rPr>
      <w:t>KRAJSKÁ HYGIENICKÁ STANICE Ústeckého kraje</w:t>
    </w:r>
  </w:p>
  <w:p w14:paraId="13D547B9" w14:textId="77777777" w:rsidR="00024DD4" w:rsidRDefault="00526C4A">
    <w:pPr>
      <w:jc w:val="center"/>
      <w:rPr>
        <w:b/>
        <w:bCs/>
        <w:sz w:val="28"/>
        <w:szCs w:val="28"/>
      </w:rPr>
    </w:pPr>
    <w:r>
      <w:rPr>
        <w:b/>
        <w:bCs/>
        <w:sz w:val="28"/>
        <w:szCs w:val="28"/>
      </w:rPr>
      <w:t>se sídlem v Ústí nad Labem</w:t>
    </w:r>
  </w:p>
  <w:p w14:paraId="782D508E" w14:textId="77777777" w:rsidR="00024DD4" w:rsidRDefault="00526C4A">
    <w:pPr>
      <w:jc w:val="center"/>
    </w:pPr>
    <w:r>
      <w:t>400 01 ÚSTÍ NAD LABEM, MOSKEVSKÁ 15, P. O. Box 78</w:t>
    </w:r>
  </w:p>
  <w:p w14:paraId="7D785B4E" w14:textId="77777777" w:rsidR="00024DD4" w:rsidRDefault="00024DD4">
    <w:pPr>
      <w:pStyle w:val="Zhlav"/>
      <w:pBdr>
        <w:bottom w:val="single" w:sz="2" w:space="1" w:color="00000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A73791"/>
    <w:multiLevelType w:val="multilevel"/>
    <w:tmpl w:val="C4709C9A"/>
    <w:lvl w:ilvl="0">
      <w:start w:val="1"/>
      <w:numFmt w:val="none"/>
      <w:pStyle w:val="Nadpis1"/>
      <w:suff w:val="nothing"/>
      <w:lvlText w:val=""/>
      <w:lvlJc w:val="left"/>
      <w:pPr>
        <w:ind w:left="432" w:hanging="432"/>
      </w:pPr>
    </w:lvl>
    <w:lvl w:ilvl="1">
      <w:start w:val="1"/>
      <w:numFmt w:val="none"/>
      <w:pStyle w:val="Nadpis2"/>
      <w:suff w:val="nothing"/>
      <w:lvlText w:val=""/>
      <w:lvlJc w:val="left"/>
      <w:pPr>
        <w:ind w:left="576" w:hanging="576"/>
      </w:pPr>
    </w:lvl>
    <w:lvl w:ilvl="2">
      <w:start w:val="1"/>
      <w:numFmt w:val="none"/>
      <w:pStyle w:val="Nadpis3"/>
      <w:suff w:val="nothing"/>
      <w:lvlText w:val=""/>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2FC21BD"/>
    <w:multiLevelType w:val="hybridMultilevel"/>
    <w:tmpl w:val="F51E1758"/>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 w15:restartNumberingAfterBreak="0">
    <w:nsid w:val="48DF4BB9"/>
    <w:multiLevelType w:val="multilevel"/>
    <w:tmpl w:val="785E3D8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6FEE3C4B"/>
    <w:multiLevelType w:val="hybridMultilevel"/>
    <w:tmpl w:val="8FB800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7A653AD6"/>
    <w:multiLevelType w:val="multilevel"/>
    <w:tmpl w:val="E03E50E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900169891">
    <w:abstractNumId w:val="0"/>
  </w:num>
  <w:num w:numId="2" w16cid:durableId="1333558924">
    <w:abstractNumId w:val="4"/>
  </w:num>
  <w:num w:numId="3" w16cid:durableId="1771581177">
    <w:abstractNumId w:val="2"/>
  </w:num>
  <w:num w:numId="4" w16cid:durableId="1343554113">
    <w:abstractNumId w:val="1"/>
  </w:num>
  <w:num w:numId="5" w16cid:durableId="96246876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QwNDIzMjQ2NzA3NjRW0lEKTi0uzszPAykwrgUA+d7tliwAAAA="/>
  </w:docVars>
  <w:rsids>
    <w:rsidRoot w:val="00024DD4"/>
    <w:rsid w:val="00024DD4"/>
    <w:rsid w:val="000A6226"/>
    <w:rsid w:val="0012716C"/>
    <w:rsid w:val="00186BF2"/>
    <w:rsid w:val="00234B43"/>
    <w:rsid w:val="002A553C"/>
    <w:rsid w:val="0032250C"/>
    <w:rsid w:val="00360B1B"/>
    <w:rsid w:val="003B1765"/>
    <w:rsid w:val="004127E2"/>
    <w:rsid w:val="004C7A82"/>
    <w:rsid w:val="004F2E86"/>
    <w:rsid w:val="0051612D"/>
    <w:rsid w:val="00526C4A"/>
    <w:rsid w:val="005674A6"/>
    <w:rsid w:val="007557D5"/>
    <w:rsid w:val="007C79D4"/>
    <w:rsid w:val="008003E3"/>
    <w:rsid w:val="008961CC"/>
    <w:rsid w:val="00BB3101"/>
    <w:rsid w:val="00C04A92"/>
    <w:rsid w:val="00C40E3A"/>
    <w:rsid w:val="00C93058"/>
    <w:rsid w:val="00CE02CB"/>
    <w:rsid w:val="00D45D29"/>
    <w:rsid w:val="00E26CC3"/>
    <w:rsid w:val="00F93E7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65F69"/>
  <w15:docId w15:val="{C942E4D4-180A-47B0-BD03-64787D3B9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Mangal"/>
        <w:szCs w:val="24"/>
        <w:lang w:val="cs-CZ"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rPr>
      <w:rFonts w:ascii="Times New Roman" w:eastAsia="Times New Roman" w:hAnsi="Times New Roman" w:cs="Times New Roman"/>
      <w:sz w:val="24"/>
      <w:lang w:bidi="ar-SA"/>
    </w:rPr>
  </w:style>
  <w:style w:type="paragraph" w:styleId="Nadpis1">
    <w:name w:val="heading 1"/>
    <w:basedOn w:val="Nadpis"/>
    <w:next w:val="Zkladntext"/>
    <w:uiPriority w:val="9"/>
    <w:qFormat/>
    <w:pPr>
      <w:numPr>
        <w:numId w:val="1"/>
      </w:numPr>
      <w:outlineLvl w:val="0"/>
    </w:pPr>
    <w:rPr>
      <w:b/>
      <w:bCs/>
      <w:sz w:val="36"/>
      <w:szCs w:val="36"/>
    </w:rPr>
  </w:style>
  <w:style w:type="paragraph" w:styleId="Nadpis2">
    <w:name w:val="heading 2"/>
    <w:basedOn w:val="Nadpis"/>
    <w:next w:val="Zkladntext"/>
    <w:uiPriority w:val="9"/>
    <w:semiHidden/>
    <w:unhideWhenUsed/>
    <w:qFormat/>
    <w:pPr>
      <w:numPr>
        <w:ilvl w:val="1"/>
        <w:numId w:val="1"/>
      </w:numPr>
      <w:spacing w:before="200"/>
      <w:outlineLvl w:val="1"/>
    </w:pPr>
    <w:rPr>
      <w:b/>
      <w:bCs/>
      <w:sz w:val="32"/>
      <w:szCs w:val="32"/>
    </w:rPr>
  </w:style>
  <w:style w:type="paragraph" w:styleId="Nadpis3">
    <w:name w:val="heading 3"/>
    <w:basedOn w:val="Nadpis"/>
    <w:next w:val="Zkladntext"/>
    <w:uiPriority w:val="9"/>
    <w:semiHidden/>
    <w:unhideWhenUsed/>
    <w:qFormat/>
    <w:pPr>
      <w:numPr>
        <w:ilvl w:val="2"/>
        <w:numId w:val="1"/>
      </w:numPr>
      <w:spacing w:before="140"/>
      <w:outlineLvl w:val="2"/>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CharChar1">
    <w:name w:val="Char Char1"/>
    <w:basedOn w:val="Standardnpsmoodstavce"/>
    <w:qFormat/>
    <w:rPr>
      <w:sz w:val="24"/>
      <w:szCs w:val="24"/>
    </w:rPr>
  </w:style>
  <w:style w:type="character" w:customStyle="1" w:styleId="CharChar">
    <w:name w:val="Char Char"/>
    <w:basedOn w:val="Standardnpsmoodstavce"/>
    <w:qFormat/>
    <w:rPr>
      <w:sz w:val="24"/>
      <w:szCs w:val="24"/>
    </w:rPr>
  </w:style>
  <w:style w:type="character" w:customStyle="1" w:styleId="Internetovodkaz">
    <w:name w:val="Internetový odkaz"/>
    <w:basedOn w:val="Standardnpsmoodstavce"/>
    <w:rPr>
      <w:color w:val="0000FF"/>
      <w:u w:val="single"/>
    </w:rPr>
  </w:style>
  <w:style w:type="character" w:customStyle="1" w:styleId="Odrky">
    <w:name w:val="Odrážky"/>
    <w:qFormat/>
    <w:rPr>
      <w:rFonts w:ascii="OpenSymbol" w:eastAsia="OpenSymbol" w:hAnsi="OpenSymbol" w:cs="OpenSymbol"/>
    </w:rPr>
  </w:style>
  <w:style w:type="paragraph" w:customStyle="1" w:styleId="Nadpis">
    <w:name w:val="Nadpis"/>
    <w:basedOn w:val="Normln"/>
    <w:next w:val="Zkladntext"/>
    <w:qFormat/>
    <w:pPr>
      <w:keepNext/>
      <w:spacing w:before="240" w:after="120"/>
    </w:pPr>
    <w:rPr>
      <w:rFonts w:ascii="Liberation Sans;Arial" w:eastAsia="Microsoft YaHei" w:hAnsi="Liberation Sans;Arial" w:cs="Mangal"/>
      <w:sz w:val="28"/>
      <w:szCs w:val="28"/>
    </w:rPr>
  </w:style>
  <w:style w:type="paragraph" w:styleId="Zkladntext">
    <w:name w:val="Body Text"/>
    <w:basedOn w:val="Normln"/>
    <w:pPr>
      <w:spacing w:after="140" w:line="288" w:lineRule="auto"/>
    </w:pPr>
  </w:style>
  <w:style w:type="paragraph" w:styleId="Seznam">
    <w:name w:val="List"/>
    <w:basedOn w:val="Zkladntext"/>
    <w:rPr>
      <w:rFonts w:cs="Mangal"/>
    </w:rPr>
  </w:style>
  <w:style w:type="paragraph" w:styleId="Titulek">
    <w:name w:val="caption"/>
    <w:basedOn w:val="Normln"/>
    <w:qFormat/>
    <w:pPr>
      <w:suppressLineNumbers/>
      <w:spacing w:before="120" w:after="120"/>
    </w:pPr>
    <w:rPr>
      <w:rFonts w:cs="Mangal"/>
      <w:i/>
      <w:iCs/>
    </w:rPr>
  </w:style>
  <w:style w:type="paragraph" w:customStyle="1" w:styleId="Rejstk">
    <w:name w:val="Rejstřík"/>
    <w:basedOn w:val="Normln"/>
    <w:qFormat/>
    <w:pPr>
      <w:suppressLineNumbers/>
    </w:pPr>
    <w:rPr>
      <w:rFonts w:cs="Mangal"/>
    </w:rPr>
  </w:style>
  <w:style w:type="paragraph" w:styleId="Zhlav">
    <w:name w:val="header"/>
    <w:basedOn w:val="Normln"/>
    <w:pPr>
      <w:tabs>
        <w:tab w:val="center" w:pos="4536"/>
        <w:tab w:val="right" w:pos="9072"/>
      </w:tabs>
    </w:pPr>
  </w:style>
  <w:style w:type="paragraph" w:styleId="Zpat">
    <w:name w:val="footer"/>
    <w:basedOn w:val="Normln"/>
    <w:pPr>
      <w:tabs>
        <w:tab w:val="center" w:pos="4536"/>
        <w:tab w:val="right" w:pos="9072"/>
      </w:tabs>
    </w:pPr>
  </w:style>
  <w:style w:type="paragraph" w:customStyle="1" w:styleId="Obsahrmce">
    <w:name w:val="Obsah rámce"/>
    <w:basedOn w:val="Normln"/>
    <w:qFormat/>
  </w:style>
  <w:style w:type="paragraph" w:customStyle="1" w:styleId="Obsahtabulky">
    <w:name w:val="Obsah tabulky"/>
    <w:basedOn w:val="Normln"/>
    <w:qFormat/>
    <w:pPr>
      <w:suppressLineNumbers/>
    </w:pPr>
  </w:style>
  <w:style w:type="paragraph" w:customStyle="1" w:styleId="Nadpistabulky">
    <w:name w:val="Nadpis tabulky"/>
    <w:basedOn w:val="Obsahtabulky"/>
    <w:qFormat/>
    <w:pPr>
      <w:jc w:val="center"/>
    </w:pPr>
    <w:rPr>
      <w:b/>
      <w:bCs/>
    </w:rPr>
  </w:style>
  <w:style w:type="paragraph" w:customStyle="1" w:styleId="Quotations">
    <w:name w:val="Quotations"/>
    <w:basedOn w:val="Normln"/>
    <w:qFormat/>
    <w:pPr>
      <w:spacing w:after="283"/>
      <w:ind w:left="567" w:right="567"/>
    </w:pPr>
  </w:style>
  <w:style w:type="paragraph" w:styleId="Nzev">
    <w:name w:val="Title"/>
    <w:basedOn w:val="Nadpis"/>
    <w:next w:val="Zkladntext"/>
    <w:uiPriority w:val="10"/>
    <w:qFormat/>
    <w:pPr>
      <w:jc w:val="center"/>
    </w:pPr>
    <w:rPr>
      <w:b/>
      <w:bCs/>
      <w:sz w:val="56"/>
      <w:szCs w:val="56"/>
    </w:rPr>
  </w:style>
  <w:style w:type="paragraph" w:styleId="Podnadpis">
    <w:name w:val="Subtitle"/>
    <w:basedOn w:val="Nadpis"/>
    <w:next w:val="Zkladntext"/>
    <w:uiPriority w:val="11"/>
    <w:qFormat/>
    <w:pPr>
      <w:spacing w:before="60"/>
      <w:jc w:val="center"/>
    </w:pPr>
    <w:rPr>
      <w:sz w:val="36"/>
      <w:szCs w:val="36"/>
    </w:rPr>
  </w:style>
  <w:style w:type="numbering" w:customStyle="1" w:styleId="WW8Num1">
    <w:name w:val="WW8Num1"/>
    <w:qFormat/>
  </w:style>
  <w:style w:type="paragraph" w:styleId="Odstavecseseznamem">
    <w:name w:val="List Paragraph"/>
    <w:basedOn w:val="Normln"/>
    <w:uiPriority w:val="34"/>
    <w:qFormat/>
    <w:rsid w:val="00C93058"/>
    <w:pPr>
      <w:suppressAutoHyphens w:val="0"/>
      <w:spacing w:after="160" w:line="259" w:lineRule="auto"/>
      <w:ind w:left="720"/>
      <w:contextualSpacing/>
    </w:pPr>
    <w:rPr>
      <w:rFonts w:asciiTheme="minorHAnsi" w:eastAsiaTheme="minorHAnsi" w:hAnsiTheme="minorHAnsi" w:cstheme="minorBidi"/>
      <w:kern w:val="2"/>
      <w:sz w:val="22"/>
      <w:szCs w:val="22"/>
      <w:lang w:eastAsia="en-US"/>
    </w:rPr>
  </w:style>
  <w:style w:type="character" w:styleId="Hypertextovodkaz">
    <w:name w:val="Hyperlink"/>
    <w:basedOn w:val="Standardnpsmoodstavce"/>
    <w:uiPriority w:val="99"/>
    <w:unhideWhenUsed/>
    <w:rsid w:val="00CE02CB"/>
    <w:rPr>
      <w:color w:val="0563C1" w:themeColor="hyperlink"/>
      <w:u w:val="single"/>
    </w:rPr>
  </w:style>
  <w:style w:type="character" w:styleId="Nevyeenzmnka">
    <w:name w:val="Unresolved Mention"/>
    <w:basedOn w:val="Standardnpsmoodstavce"/>
    <w:uiPriority w:val="99"/>
    <w:semiHidden/>
    <w:unhideWhenUsed/>
    <w:rsid w:val="004127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patrasova\Downloads\ExportReportu-2023-07-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pivotSource>
    <c:name>[ExportReportu-2023-07-21.xlsx]List1!Kontingenční tabulka2</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0" i="0" u="none" strike="noStrike" kern="1200" spc="0" baseline="0">
                <a:solidFill>
                  <a:sysClr val="windowText" lastClr="000000">
                    <a:lumMod val="65000"/>
                    <a:lumOff val="35000"/>
                  </a:sysClr>
                </a:solidFill>
              </a:rPr>
              <a:t>Výskyt onemocnění kampylobakteriózou v Ústeckém kraji, 2018 - červenec 2023</a:t>
            </a:r>
            <a:endParaRPr lang="en-US" sz="1400" b="0"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chemeClr val="accent1"/>
          </a:solidFill>
          <a:ln w="28575" cap="rnd">
            <a:solidFill>
              <a:schemeClr val="accent1"/>
            </a:solidFill>
            <a:round/>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1"/>
          <c:order val="1"/>
          <c:tx>
            <c:strRef>
              <c:f>List1!$C$3:$C$4</c:f>
              <c:strCache>
                <c:ptCount val="1"/>
                <c:pt idx="0">
                  <c:v>Klíšťová encefalitida</c:v>
                </c:pt>
              </c:strCache>
            </c:strRef>
          </c:tx>
          <c:spPr>
            <a:solidFill>
              <a:schemeClr val="accent2"/>
            </a:solidFill>
            <a:ln>
              <a:noFill/>
            </a:ln>
            <a:effectLst/>
          </c:spPr>
          <c:invertIfNegative val="0"/>
          <c:cat>
            <c:multiLvlStrRef>
              <c:f>List1!$A$5:$A$73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3</c:v>
                  </c:pt>
                  <c:pt idx="37">
                    <c:v>5</c:v>
                  </c:pt>
                  <c:pt idx="38">
                    <c:v>6</c:v>
                  </c:pt>
                  <c:pt idx="39">
                    <c:v>7</c:v>
                  </c:pt>
                  <c:pt idx="40">
                    <c:v>8</c:v>
                  </c:pt>
                  <c:pt idx="41">
                    <c:v>9</c:v>
                  </c:pt>
                  <c:pt idx="42">
                    <c:v>10</c:v>
                  </c:pt>
                  <c:pt idx="43">
                    <c:v>11</c:v>
                  </c:pt>
                  <c:pt idx="44">
                    <c:v>12</c:v>
                  </c:pt>
                  <c:pt idx="45">
                    <c:v>3</c:v>
                  </c:pt>
                  <c:pt idx="46">
                    <c:v>4</c:v>
                  </c:pt>
                  <c:pt idx="47">
                    <c:v>5</c:v>
                  </c:pt>
                  <c:pt idx="48">
                    <c:v>6</c:v>
                  </c:pt>
                  <c:pt idx="49">
                    <c:v>7</c:v>
                  </c:pt>
                  <c:pt idx="50">
                    <c:v>8</c:v>
                  </c:pt>
                  <c:pt idx="51">
                    <c:v>9</c:v>
                  </c:pt>
                  <c:pt idx="52">
                    <c:v>10</c:v>
                  </c:pt>
                  <c:pt idx="53">
                    <c:v>11</c:v>
                  </c:pt>
                  <c:pt idx="54">
                    <c:v>12</c:v>
                  </c:pt>
                  <c:pt idx="55">
                    <c:v>1</c:v>
                  </c:pt>
                  <c:pt idx="56">
                    <c:v>2</c:v>
                  </c:pt>
                  <c:pt idx="57">
                    <c:v>3</c:v>
                  </c:pt>
                  <c:pt idx="58">
                    <c:v>4</c:v>
                  </c:pt>
                  <c:pt idx="59">
                    <c:v>5</c:v>
                  </c:pt>
                  <c:pt idx="60">
                    <c:v>6</c:v>
                  </c:pt>
                  <c:pt idx="61">
                    <c:v>7</c:v>
                  </c:pt>
                </c:lvl>
                <c:lvl>
                  <c:pt idx="0">
                    <c:v>2018</c:v>
                  </c:pt>
                  <c:pt idx="12">
                    <c:v>2019</c:v>
                  </c:pt>
                  <c:pt idx="24">
                    <c:v>2020</c:v>
                  </c:pt>
                  <c:pt idx="36">
                    <c:v>2021</c:v>
                  </c:pt>
                  <c:pt idx="45">
                    <c:v>2022</c:v>
                  </c:pt>
                  <c:pt idx="55">
                    <c:v>2023</c:v>
                  </c:pt>
                </c:lvl>
              </c:multiLvlStrCache>
            </c:multiLvlStrRef>
          </c:cat>
          <c:val>
            <c:numRef>
              <c:f>List1!$C$5:$C$73</c:f>
              <c:numCache>
                <c:formatCode>General</c:formatCode>
                <c:ptCount val="62"/>
                <c:pt idx="4">
                  <c:v>1</c:v>
                </c:pt>
                <c:pt idx="5">
                  <c:v>7</c:v>
                </c:pt>
                <c:pt idx="6">
                  <c:v>9</c:v>
                </c:pt>
                <c:pt idx="7">
                  <c:v>16</c:v>
                </c:pt>
                <c:pt idx="8">
                  <c:v>3</c:v>
                </c:pt>
                <c:pt idx="9">
                  <c:v>4</c:v>
                </c:pt>
                <c:pt idx="10">
                  <c:v>3</c:v>
                </c:pt>
                <c:pt idx="12">
                  <c:v>3</c:v>
                </c:pt>
                <c:pt idx="17">
                  <c:v>6</c:v>
                </c:pt>
                <c:pt idx="18">
                  <c:v>7</c:v>
                </c:pt>
                <c:pt idx="19">
                  <c:v>11</c:v>
                </c:pt>
                <c:pt idx="20">
                  <c:v>2</c:v>
                </c:pt>
                <c:pt idx="21">
                  <c:v>5</c:v>
                </c:pt>
                <c:pt idx="22">
                  <c:v>3</c:v>
                </c:pt>
                <c:pt idx="23">
                  <c:v>3</c:v>
                </c:pt>
                <c:pt idx="27">
                  <c:v>1</c:v>
                </c:pt>
                <c:pt idx="28">
                  <c:v>1</c:v>
                </c:pt>
                <c:pt idx="30">
                  <c:v>9</c:v>
                </c:pt>
                <c:pt idx="31">
                  <c:v>12</c:v>
                </c:pt>
                <c:pt idx="32">
                  <c:v>2</c:v>
                </c:pt>
                <c:pt idx="33">
                  <c:v>5</c:v>
                </c:pt>
                <c:pt idx="34">
                  <c:v>2</c:v>
                </c:pt>
                <c:pt idx="35">
                  <c:v>2</c:v>
                </c:pt>
                <c:pt idx="37">
                  <c:v>1</c:v>
                </c:pt>
                <c:pt idx="38">
                  <c:v>2</c:v>
                </c:pt>
                <c:pt idx="39">
                  <c:v>11</c:v>
                </c:pt>
                <c:pt idx="40">
                  <c:v>18</c:v>
                </c:pt>
                <c:pt idx="41">
                  <c:v>8</c:v>
                </c:pt>
                <c:pt idx="42">
                  <c:v>4</c:v>
                </c:pt>
                <c:pt idx="43">
                  <c:v>3</c:v>
                </c:pt>
                <c:pt idx="47">
                  <c:v>2</c:v>
                </c:pt>
                <c:pt idx="48">
                  <c:v>5</c:v>
                </c:pt>
                <c:pt idx="49">
                  <c:v>8</c:v>
                </c:pt>
                <c:pt idx="50">
                  <c:v>15</c:v>
                </c:pt>
                <c:pt idx="51">
                  <c:v>3</c:v>
                </c:pt>
                <c:pt idx="52">
                  <c:v>7</c:v>
                </c:pt>
                <c:pt idx="53">
                  <c:v>6</c:v>
                </c:pt>
                <c:pt idx="54">
                  <c:v>1</c:v>
                </c:pt>
                <c:pt idx="60">
                  <c:v>5</c:v>
                </c:pt>
                <c:pt idx="61">
                  <c:v>8</c:v>
                </c:pt>
              </c:numCache>
            </c:numRef>
          </c:val>
          <c:extLst>
            <c:ext xmlns:c16="http://schemas.microsoft.com/office/drawing/2014/chart" uri="{C3380CC4-5D6E-409C-BE32-E72D297353CC}">
              <c16:uniqueId val="{00000000-1FBA-4A20-8749-F7B57B36594D}"/>
            </c:ext>
          </c:extLst>
        </c:ser>
        <c:dLbls>
          <c:showLegendKey val="0"/>
          <c:showVal val="0"/>
          <c:showCatName val="0"/>
          <c:showSerName val="0"/>
          <c:showPercent val="0"/>
          <c:showBubbleSize val="0"/>
        </c:dLbls>
        <c:gapWidth val="219"/>
        <c:axId val="1915723184"/>
        <c:axId val="1915722704"/>
      </c:barChart>
      <c:lineChart>
        <c:grouping val="standard"/>
        <c:varyColors val="0"/>
        <c:ser>
          <c:idx val="0"/>
          <c:order val="0"/>
          <c:tx>
            <c:strRef>
              <c:f>List1!$B$3:$B$4</c:f>
              <c:strCache>
                <c:ptCount val="1"/>
                <c:pt idx="0">
                  <c:v>Lymeská borelióza</c:v>
                </c:pt>
              </c:strCache>
            </c:strRef>
          </c:tx>
          <c:spPr>
            <a:ln w="28575" cap="rnd">
              <a:solidFill>
                <a:schemeClr val="accent1"/>
              </a:solidFill>
              <a:round/>
            </a:ln>
            <a:effectLst/>
          </c:spPr>
          <c:marker>
            <c:symbol val="none"/>
          </c:marker>
          <c:cat>
            <c:multiLvlStrRef>
              <c:f>List1!$A$5:$A$73</c:f>
              <c:multiLvlStrCache>
                <c:ptCount val="62"/>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3</c:v>
                  </c:pt>
                  <c:pt idx="37">
                    <c:v>5</c:v>
                  </c:pt>
                  <c:pt idx="38">
                    <c:v>6</c:v>
                  </c:pt>
                  <c:pt idx="39">
                    <c:v>7</c:v>
                  </c:pt>
                  <c:pt idx="40">
                    <c:v>8</c:v>
                  </c:pt>
                  <c:pt idx="41">
                    <c:v>9</c:v>
                  </c:pt>
                  <c:pt idx="42">
                    <c:v>10</c:v>
                  </c:pt>
                  <c:pt idx="43">
                    <c:v>11</c:v>
                  </c:pt>
                  <c:pt idx="44">
                    <c:v>12</c:v>
                  </c:pt>
                  <c:pt idx="45">
                    <c:v>3</c:v>
                  </c:pt>
                  <c:pt idx="46">
                    <c:v>4</c:v>
                  </c:pt>
                  <c:pt idx="47">
                    <c:v>5</c:v>
                  </c:pt>
                  <c:pt idx="48">
                    <c:v>6</c:v>
                  </c:pt>
                  <c:pt idx="49">
                    <c:v>7</c:v>
                  </c:pt>
                  <c:pt idx="50">
                    <c:v>8</c:v>
                  </c:pt>
                  <c:pt idx="51">
                    <c:v>9</c:v>
                  </c:pt>
                  <c:pt idx="52">
                    <c:v>10</c:v>
                  </c:pt>
                  <c:pt idx="53">
                    <c:v>11</c:v>
                  </c:pt>
                  <c:pt idx="54">
                    <c:v>12</c:v>
                  </c:pt>
                  <c:pt idx="55">
                    <c:v>1</c:v>
                  </c:pt>
                  <c:pt idx="56">
                    <c:v>2</c:v>
                  </c:pt>
                  <c:pt idx="57">
                    <c:v>3</c:v>
                  </c:pt>
                  <c:pt idx="58">
                    <c:v>4</c:v>
                  </c:pt>
                  <c:pt idx="59">
                    <c:v>5</c:v>
                  </c:pt>
                  <c:pt idx="60">
                    <c:v>6</c:v>
                  </c:pt>
                  <c:pt idx="61">
                    <c:v>7</c:v>
                  </c:pt>
                </c:lvl>
                <c:lvl>
                  <c:pt idx="0">
                    <c:v>2018</c:v>
                  </c:pt>
                  <c:pt idx="12">
                    <c:v>2019</c:v>
                  </c:pt>
                  <c:pt idx="24">
                    <c:v>2020</c:v>
                  </c:pt>
                  <c:pt idx="36">
                    <c:v>2021</c:v>
                  </c:pt>
                  <c:pt idx="45">
                    <c:v>2022</c:v>
                  </c:pt>
                  <c:pt idx="55">
                    <c:v>2023</c:v>
                  </c:pt>
                </c:lvl>
              </c:multiLvlStrCache>
            </c:multiLvlStrRef>
          </c:cat>
          <c:val>
            <c:numRef>
              <c:f>List1!$B$5:$B$73</c:f>
              <c:numCache>
                <c:formatCode>General</c:formatCode>
                <c:ptCount val="62"/>
                <c:pt idx="0">
                  <c:v>7</c:v>
                </c:pt>
                <c:pt idx="1">
                  <c:v>4</c:v>
                </c:pt>
                <c:pt idx="2">
                  <c:v>2</c:v>
                </c:pt>
                <c:pt idx="3">
                  <c:v>3</c:v>
                </c:pt>
                <c:pt idx="4">
                  <c:v>6</c:v>
                </c:pt>
                <c:pt idx="5">
                  <c:v>16</c:v>
                </c:pt>
                <c:pt idx="6">
                  <c:v>30</c:v>
                </c:pt>
                <c:pt idx="7">
                  <c:v>43</c:v>
                </c:pt>
                <c:pt idx="8">
                  <c:v>41</c:v>
                </c:pt>
                <c:pt idx="9">
                  <c:v>29</c:v>
                </c:pt>
                <c:pt idx="10">
                  <c:v>36</c:v>
                </c:pt>
                <c:pt idx="11">
                  <c:v>16</c:v>
                </c:pt>
                <c:pt idx="12">
                  <c:v>7</c:v>
                </c:pt>
                <c:pt idx="13">
                  <c:v>3</c:v>
                </c:pt>
                <c:pt idx="14">
                  <c:v>3</c:v>
                </c:pt>
                <c:pt idx="15">
                  <c:v>7</c:v>
                </c:pt>
                <c:pt idx="16">
                  <c:v>6</c:v>
                </c:pt>
                <c:pt idx="17">
                  <c:v>22</c:v>
                </c:pt>
                <c:pt idx="18">
                  <c:v>41</c:v>
                </c:pt>
                <c:pt idx="19">
                  <c:v>32</c:v>
                </c:pt>
                <c:pt idx="20">
                  <c:v>12</c:v>
                </c:pt>
                <c:pt idx="21">
                  <c:v>33</c:v>
                </c:pt>
                <c:pt idx="22">
                  <c:v>18</c:v>
                </c:pt>
                <c:pt idx="23">
                  <c:v>55</c:v>
                </c:pt>
                <c:pt idx="24">
                  <c:v>6</c:v>
                </c:pt>
                <c:pt idx="25">
                  <c:v>1</c:v>
                </c:pt>
                <c:pt idx="26">
                  <c:v>3</c:v>
                </c:pt>
                <c:pt idx="27">
                  <c:v>4</c:v>
                </c:pt>
                <c:pt idx="28">
                  <c:v>1</c:v>
                </c:pt>
                <c:pt idx="29">
                  <c:v>23</c:v>
                </c:pt>
                <c:pt idx="30">
                  <c:v>36</c:v>
                </c:pt>
                <c:pt idx="31">
                  <c:v>21</c:v>
                </c:pt>
                <c:pt idx="32">
                  <c:v>17</c:v>
                </c:pt>
                <c:pt idx="33">
                  <c:v>8</c:v>
                </c:pt>
                <c:pt idx="34">
                  <c:v>1</c:v>
                </c:pt>
                <c:pt idx="35">
                  <c:v>5</c:v>
                </c:pt>
                <c:pt idx="36">
                  <c:v>2</c:v>
                </c:pt>
                <c:pt idx="37">
                  <c:v>1</c:v>
                </c:pt>
                <c:pt idx="38">
                  <c:v>6</c:v>
                </c:pt>
                <c:pt idx="39">
                  <c:v>16</c:v>
                </c:pt>
                <c:pt idx="40">
                  <c:v>26</c:v>
                </c:pt>
                <c:pt idx="41">
                  <c:v>20</c:v>
                </c:pt>
                <c:pt idx="42">
                  <c:v>5</c:v>
                </c:pt>
                <c:pt idx="43">
                  <c:v>9</c:v>
                </c:pt>
                <c:pt idx="44">
                  <c:v>4</c:v>
                </c:pt>
                <c:pt idx="45">
                  <c:v>1</c:v>
                </c:pt>
                <c:pt idx="46">
                  <c:v>16</c:v>
                </c:pt>
                <c:pt idx="47">
                  <c:v>7</c:v>
                </c:pt>
                <c:pt idx="48">
                  <c:v>11</c:v>
                </c:pt>
                <c:pt idx="49">
                  <c:v>22</c:v>
                </c:pt>
                <c:pt idx="50">
                  <c:v>38</c:v>
                </c:pt>
                <c:pt idx="51">
                  <c:v>12</c:v>
                </c:pt>
                <c:pt idx="52">
                  <c:v>16</c:v>
                </c:pt>
                <c:pt idx="53">
                  <c:v>13</c:v>
                </c:pt>
                <c:pt idx="54">
                  <c:v>5</c:v>
                </c:pt>
                <c:pt idx="55">
                  <c:v>3</c:v>
                </c:pt>
                <c:pt idx="56">
                  <c:v>6</c:v>
                </c:pt>
                <c:pt idx="57">
                  <c:v>6</c:v>
                </c:pt>
                <c:pt idx="58">
                  <c:v>2</c:v>
                </c:pt>
                <c:pt idx="59">
                  <c:v>4</c:v>
                </c:pt>
                <c:pt idx="60">
                  <c:v>24</c:v>
                </c:pt>
                <c:pt idx="61">
                  <c:v>17</c:v>
                </c:pt>
              </c:numCache>
            </c:numRef>
          </c:val>
          <c:smooth val="0"/>
          <c:extLst>
            <c:ext xmlns:c16="http://schemas.microsoft.com/office/drawing/2014/chart" uri="{C3380CC4-5D6E-409C-BE32-E72D297353CC}">
              <c16:uniqueId val="{00000001-1FBA-4A20-8749-F7B57B36594D}"/>
            </c:ext>
          </c:extLst>
        </c:ser>
        <c:dLbls>
          <c:showLegendKey val="0"/>
          <c:showVal val="0"/>
          <c:showCatName val="0"/>
          <c:showSerName val="0"/>
          <c:showPercent val="0"/>
          <c:showBubbleSize val="0"/>
        </c:dLbls>
        <c:marker val="1"/>
        <c:smooth val="0"/>
        <c:axId val="1915723184"/>
        <c:axId val="1915722704"/>
      </c:lineChart>
      <c:catAx>
        <c:axId val="191572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15722704"/>
        <c:crosses val="autoZero"/>
        <c:auto val="1"/>
        <c:lblAlgn val="ctr"/>
        <c:lblOffset val="100"/>
        <c:noMultiLvlLbl val="0"/>
      </c:catAx>
      <c:valAx>
        <c:axId val="1915722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 případů</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1572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2</Pages>
  <Words>623</Words>
  <Characters>3678</Characters>
  <Application>Microsoft Office Word</Application>
  <DocSecurity>0</DocSecurity>
  <Lines>30</Lines>
  <Paragraphs>8</Paragraphs>
  <ScaleCrop>false</ScaleCrop>
  <HeadingPairs>
    <vt:vector size="2" baseType="variant">
      <vt:variant>
        <vt:lpstr>Název</vt:lpstr>
      </vt:variant>
      <vt:variant>
        <vt:i4>1</vt:i4>
      </vt:variant>
    </vt:vector>
  </HeadingPairs>
  <TitlesOfParts>
    <vt:vector size="1" baseType="lpstr">
      <vt:lpstr>Tělo: Pisemnost</vt:lpstr>
    </vt:vector>
  </TitlesOfParts>
  <Company/>
  <LinksUpToDate>false</LinksUpToDate>
  <CharactersWithSpaces>4293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Tělo: Pisemnost</dc:title>
  <dc:subject/>
  <dc:creator>David Wildman</dc:creator>
  <dc:description/>
  <cp:lastModifiedBy>Patrasová Eva MUDr.</cp:lastModifiedBy>
  <cp:revision>4</cp:revision>
  <cp:lastPrinted>2023-07-04T13:36:00Z</cp:lastPrinted>
  <dcterms:created xsi:type="dcterms:W3CDTF">2023-07-18T06:20:00Z</dcterms:created>
  <dcterms:modified xsi:type="dcterms:W3CDTF">2023-07-21T08:48:00Z</dcterms:modified>
  <dc:language>cs-CZ</dc:language>
</cp:coreProperties>
</file>